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EBB" w14:textId="77777777" w:rsidR="0031670A" w:rsidRDefault="00D44F0A">
      <w:pPr>
        <w:tabs>
          <w:tab w:val="left" w:pos="720"/>
        </w:tabs>
        <w:spacing w:after="0" w:line="240" w:lineRule="auto"/>
        <w:ind w:firstLine="0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TERMO DE RESPONSABILIDADE E COMPROMISSO 2023</w:t>
      </w:r>
    </w:p>
    <w:p w14:paraId="7A273C67" w14:textId="77777777" w:rsidR="0031670A" w:rsidRDefault="0031670A">
      <w:pPr>
        <w:tabs>
          <w:tab w:val="left" w:pos="720"/>
        </w:tabs>
        <w:spacing w:after="0" w:line="240" w:lineRule="auto"/>
        <w:ind w:firstLine="0"/>
        <w:rPr>
          <w:b/>
          <w:color w:val="000000"/>
          <w:sz w:val="22"/>
          <w:szCs w:val="22"/>
        </w:rPr>
      </w:pPr>
    </w:p>
    <w:p w14:paraId="1565FEFF" w14:textId="1C59162A" w:rsidR="0031670A" w:rsidRDefault="00D44F0A">
      <w:pPr>
        <w:tabs>
          <w:tab w:val="left" w:pos="720"/>
        </w:tabs>
        <w:spacing w:after="0" w:line="240" w:lineRule="auto"/>
        <w:ind w:right="-24" w:firstLine="0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RESPONSÁVEL PELA ORGANIZAÇÃO: </w:t>
      </w:r>
    </w:p>
    <w:p w14:paraId="26E69A35" w14:textId="20B40FEB" w:rsidR="0031670A" w:rsidRDefault="00D44F0A" w:rsidP="00D14B4E">
      <w:pPr>
        <w:tabs>
          <w:tab w:val="left" w:pos="720"/>
        </w:tabs>
        <w:spacing w:after="0" w:line="240" w:lineRule="auto"/>
        <w:ind w:right="-24" w:firstLine="0"/>
        <w:jc w:val="lef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ENDEREÇO </w:t>
      </w:r>
      <w:r w:rsidR="00D14B4E">
        <w:rPr>
          <w:b/>
          <w:color w:val="000000"/>
          <w:sz w:val="22"/>
          <w:szCs w:val="22"/>
        </w:rPr>
        <w:t>DO EVENTO</w:t>
      </w:r>
    </w:p>
    <w:p w14:paraId="011C0790" w14:textId="36D368DD" w:rsidR="00913F2A" w:rsidRPr="00D14B4E" w:rsidRDefault="00913F2A" w:rsidP="00D14B4E">
      <w:pPr>
        <w:tabs>
          <w:tab w:val="left" w:pos="720"/>
        </w:tabs>
        <w:spacing w:after="0" w:line="240" w:lineRule="auto"/>
        <w:ind w:right="-24" w:firstLine="0"/>
        <w:jc w:val="left"/>
        <w:rPr>
          <w:color w:val="000000"/>
          <w:sz w:val="22"/>
          <w:szCs w:val="22"/>
        </w:rPr>
      </w:pPr>
      <w:r w:rsidRPr="00913F2A">
        <w:rPr>
          <w:b/>
          <w:color w:val="000000"/>
          <w:sz w:val="22"/>
          <w:szCs w:val="22"/>
        </w:rPr>
        <w:t>DATA DA REALIZAÇÃO DO EVENTO:</w:t>
      </w:r>
      <w:r>
        <w:rPr>
          <w:color w:val="000000"/>
          <w:sz w:val="22"/>
          <w:szCs w:val="22"/>
        </w:rPr>
        <w:t xml:space="preserve"> </w:t>
      </w:r>
    </w:p>
    <w:p w14:paraId="04FCBB33" w14:textId="77777777" w:rsidR="00D14B4E" w:rsidRDefault="00D14B4E" w:rsidP="00D14B4E">
      <w:pPr>
        <w:tabs>
          <w:tab w:val="left" w:pos="720"/>
        </w:tabs>
        <w:spacing w:after="0" w:line="240" w:lineRule="auto"/>
        <w:ind w:right="-24" w:firstLine="0"/>
        <w:jc w:val="left"/>
        <w:rPr>
          <w:b/>
          <w:color w:val="000000"/>
          <w:sz w:val="22"/>
          <w:szCs w:val="22"/>
        </w:rPr>
      </w:pPr>
    </w:p>
    <w:p w14:paraId="0CAD3621" w14:textId="77777777" w:rsidR="008C4826" w:rsidRDefault="00D44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jc w:val="center"/>
        <w:rPr>
          <w:b/>
          <w:sz w:val="22"/>
          <w:szCs w:val="22"/>
          <w:u w:val="single"/>
        </w:rPr>
      </w:pPr>
      <w:r>
        <w:rPr>
          <w:b/>
          <w:color w:val="000000" w:themeColor="text1"/>
          <w:sz w:val="22"/>
          <w:szCs w:val="22"/>
          <w:u w:val="single"/>
        </w:rPr>
        <w:t>PRAZO LIMITE DE ENTREGA DAS DOCUMENTAÇÕES</w:t>
      </w:r>
      <w:r w:rsidRPr="00867D91">
        <w:rPr>
          <w:b/>
          <w:sz w:val="22"/>
          <w:szCs w:val="22"/>
          <w:u w:val="single"/>
        </w:rPr>
        <w:t xml:space="preserve">: </w:t>
      </w:r>
    </w:p>
    <w:p w14:paraId="77B6BCA4" w14:textId="3BA1E71A" w:rsidR="0031670A" w:rsidRDefault="00AA09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jc w:val="center"/>
        <w:rPr>
          <w:b/>
          <w:color w:val="000000" w:themeColor="text1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8C4826">
        <w:rPr>
          <w:b/>
          <w:sz w:val="22"/>
          <w:szCs w:val="22"/>
          <w:u w:val="single"/>
        </w:rPr>
        <w:t xml:space="preserve"> DIAS </w:t>
      </w:r>
      <w:r>
        <w:rPr>
          <w:b/>
          <w:sz w:val="22"/>
          <w:szCs w:val="22"/>
          <w:u w:val="single"/>
        </w:rPr>
        <w:t>Ú</w:t>
      </w:r>
      <w:r w:rsidR="008C4826">
        <w:rPr>
          <w:b/>
          <w:sz w:val="22"/>
          <w:szCs w:val="22"/>
          <w:u w:val="single"/>
        </w:rPr>
        <w:t xml:space="preserve">TEIS </w:t>
      </w:r>
      <w:r>
        <w:rPr>
          <w:b/>
          <w:sz w:val="22"/>
          <w:szCs w:val="22"/>
          <w:u w:val="single"/>
        </w:rPr>
        <w:t>ANTES DO</w:t>
      </w:r>
      <w:r w:rsidR="008C4826">
        <w:rPr>
          <w:b/>
          <w:sz w:val="22"/>
          <w:szCs w:val="22"/>
          <w:u w:val="single"/>
        </w:rPr>
        <w:t xml:space="preserve"> EVENTO</w:t>
      </w:r>
    </w:p>
    <w:p w14:paraId="386FD42B" w14:textId="77777777" w:rsidR="0031670A" w:rsidRDefault="00D44F0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ORIENTAÇÕES E PROCEDIMENTOS A SEREM SEGUIDOS PARA REALIZAÇÃO DE CARNAVAL DE RUA, CLUBES E CASAS DE SHOWS E EVENTOS GOSPEL, ETC ...</w:t>
      </w:r>
    </w:p>
    <w:p w14:paraId="352B4160" w14:textId="77777777" w:rsidR="0031670A" w:rsidRDefault="0031670A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777CBDA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2"/>
          <w:szCs w:val="22"/>
        </w:rPr>
        <w:t>Todo e qualquer evento que receba grande número de pessoas, em área aberta ou fechada, deve atender aos procedimentos relacionados neste documento e apresentar diretamente na sede do CREA-MT, através da coordenadoria de Fiscalização Preventiva Integrada – FPI.</w:t>
      </w:r>
    </w:p>
    <w:p w14:paraId="29D44B14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  <w:t>Em virtude de o local não estar plenamente preparado para o evento nesta data, a Fiscalização Preventiva Integrada - FPI faz as orientações e solicitações que se seguem:</w:t>
      </w:r>
    </w:p>
    <w:p w14:paraId="505112C9" w14:textId="77777777" w:rsidR="0031670A" w:rsidRDefault="003167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</w:p>
    <w:p w14:paraId="514A7EA9" w14:textId="77777777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4"/>
          <w:u w:val="single"/>
        </w:rPr>
      </w:pPr>
      <w:r>
        <w:rPr>
          <w:color w:val="000000"/>
          <w:sz w:val="22"/>
          <w:szCs w:val="24"/>
          <w:u w:val="single"/>
        </w:rPr>
        <w:t>SEGURANÇA PESSOAL:</w:t>
      </w:r>
    </w:p>
    <w:p w14:paraId="31EA0AD6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4"/>
          <w:szCs w:val="24"/>
          <w:u w:val="single"/>
        </w:rPr>
      </w:pPr>
    </w:p>
    <w:p w14:paraId="7AAE8DBA" w14:textId="77777777" w:rsidR="0031670A" w:rsidRDefault="00D44F0A">
      <w:pPr>
        <w:pStyle w:val="Corpodetexto21"/>
        <w:numPr>
          <w:ilvl w:val="0"/>
          <w:numId w:val="1"/>
        </w:numPr>
        <w:ind w:firstLine="0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Providenciar auxílio policial de acordo com o número estimado de público a fim de evitar tumulto e conflitos.</w:t>
      </w:r>
    </w:p>
    <w:p w14:paraId="15801E8C" w14:textId="77777777" w:rsidR="0031670A" w:rsidRDefault="00D44F0A">
      <w:pPr>
        <w:pStyle w:val="Corpodetexto21"/>
        <w:numPr>
          <w:ilvl w:val="0"/>
          <w:numId w:val="1"/>
        </w:numPr>
        <w:ind w:firstLine="0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Caso seja utilizado outro tipo de segurança, que esta seja realizada por pessoas/empresas especializadas, identificadas e registradas na Polícia Federal e que atendam a demanda de público estimada.</w:t>
      </w:r>
    </w:p>
    <w:p w14:paraId="6F208BA4" w14:textId="77777777" w:rsidR="0031670A" w:rsidRDefault="00D44F0A">
      <w:pPr>
        <w:pStyle w:val="Corpodetexto21"/>
        <w:ind w:left="720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 xml:space="preserve"> </w:t>
      </w:r>
    </w:p>
    <w:p w14:paraId="4E9A07EA" w14:textId="77777777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4"/>
          <w:u w:val="single"/>
        </w:rPr>
      </w:pPr>
      <w:r>
        <w:rPr>
          <w:color w:val="000000"/>
          <w:sz w:val="22"/>
          <w:szCs w:val="24"/>
          <w:u w:val="single"/>
        </w:rPr>
        <w:t>SEGURANÇA DAS CRIANÇAS:</w:t>
      </w:r>
    </w:p>
    <w:p w14:paraId="062E873C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4"/>
          <w:szCs w:val="24"/>
          <w:u w:val="single"/>
        </w:rPr>
      </w:pPr>
    </w:p>
    <w:p w14:paraId="4206B980" w14:textId="77777777" w:rsidR="0031670A" w:rsidRDefault="00D44F0A">
      <w:pPr>
        <w:pStyle w:val="Corpodetexto21"/>
        <w:numPr>
          <w:ilvl w:val="0"/>
          <w:numId w:val="2"/>
        </w:numPr>
        <w:ind w:left="1068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O responsável pelo menor deve tomar todos os cuidados para que as crianças não se percam em meio à multidão. Recomenda-se usar pulseirinhas, adesivos ou outro meio que identifique o nome da criança e o meio de se contatar com o seu responsável.</w:t>
      </w:r>
    </w:p>
    <w:p w14:paraId="17073FE4" w14:textId="77777777" w:rsidR="0031670A" w:rsidRDefault="0031670A">
      <w:pPr>
        <w:pStyle w:val="Corpodetexto21"/>
        <w:ind w:left="720"/>
        <w:jc w:val="both"/>
        <w:rPr>
          <w:b w:val="0"/>
          <w:i/>
          <w:color w:val="000000"/>
          <w:sz w:val="22"/>
          <w:szCs w:val="22"/>
        </w:rPr>
      </w:pPr>
    </w:p>
    <w:p w14:paraId="0C2ABFE2" w14:textId="77777777" w:rsidR="0031670A" w:rsidRDefault="00D44F0A">
      <w:pPr>
        <w:tabs>
          <w:tab w:val="left" w:pos="540"/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PROVIDÊNCIAS A SEREM ADOTAS EM CADA INSTITUIÇÃO:</w:t>
      </w:r>
    </w:p>
    <w:p w14:paraId="5F100177" w14:textId="77777777" w:rsidR="0031670A" w:rsidRDefault="0031670A">
      <w:pPr>
        <w:tabs>
          <w:tab w:val="left" w:pos="540"/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4150D33" w14:textId="77777777" w:rsidR="0031670A" w:rsidRDefault="00D44F0A">
      <w:pPr>
        <w:tabs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CONSELHO REGIONAL DE ENGENHARIA E AGRONOMIA:</w:t>
      </w:r>
    </w:p>
    <w:p w14:paraId="36A7FE46" w14:textId="77777777" w:rsidR="0031670A" w:rsidRDefault="0031670A">
      <w:pPr>
        <w:tabs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65D2855D" w14:textId="77777777" w:rsidR="0031670A" w:rsidRDefault="00D44F0A">
      <w:pPr>
        <w:pStyle w:val="Corpodetexto21"/>
        <w:numPr>
          <w:ilvl w:val="0"/>
          <w:numId w:val="3"/>
        </w:numPr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Os Locais (Rua, Avenida), clubes e outros de realização dos eventos devem ser estruturados de acordo com o projeto de layout de segurança, elaborado e executado por profissional legalmente habilitado e mediante registro da ART – Anotação de Responsabilidade Técnica;</w:t>
      </w:r>
    </w:p>
    <w:p w14:paraId="58533AFE" w14:textId="77777777" w:rsidR="0031670A" w:rsidRDefault="00D44F0A">
      <w:pPr>
        <w:pStyle w:val="Corpodetexto21"/>
        <w:numPr>
          <w:ilvl w:val="0"/>
          <w:numId w:val="3"/>
        </w:numPr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Cuidado absoluto deve-se ter com objetos e adereços utilizados na decoração dos locais de realização das festas, evitando-se colocá-los próximo às instalações elétricas. </w:t>
      </w:r>
    </w:p>
    <w:p w14:paraId="0C0B05EE" w14:textId="77777777" w:rsidR="0031670A" w:rsidRDefault="00D44F0A">
      <w:pPr>
        <w:pStyle w:val="Corpodetexto21"/>
        <w:numPr>
          <w:ilvl w:val="0"/>
          <w:numId w:val="3"/>
        </w:numPr>
        <w:ind w:left="0" w:firstLine="0"/>
        <w:jc w:val="both"/>
        <w:rPr>
          <w:b w:val="0"/>
          <w:sz w:val="24"/>
          <w:szCs w:val="22"/>
        </w:rPr>
      </w:pPr>
      <w:r>
        <w:rPr>
          <w:b w:val="0"/>
          <w:sz w:val="22"/>
          <w:szCs w:val="22"/>
        </w:rPr>
        <w:t xml:space="preserve">As </w:t>
      </w:r>
      <w:proofErr w:type="spellStart"/>
      <w:r>
        <w:rPr>
          <w:b w:val="0"/>
          <w:sz w:val="22"/>
          <w:szCs w:val="22"/>
        </w:rPr>
        <w:t>ART’s</w:t>
      </w:r>
      <w:proofErr w:type="spellEnd"/>
      <w:r>
        <w:rPr>
          <w:b w:val="0"/>
          <w:sz w:val="22"/>
          <w:szCs w:val="22"/>
        </w:rPr>
        <w:t xml:space="preserve"> poderão ser emitidas através do novo sistema </w:t>
      </w:r>
      <w:proofErr w:type="spellStart"/>
      <w:r>
        <w:rPr>
          <w:b w:val="0"/>
          <w:sz w:val="22"/>
          <w:szCs w:val="22"/>
        </w:rPr>
        <w:t>eCREA</w:t>
      </w:r>
      <w:proofErr w:type="spellEnd"/>
      <w:r>
        <w:rPr>
          <w:b w:val="0"/>
          <w:sz w:val="22"/>
          <w:szCs w:val="22"/>
        </w:rPr>
        <w:t xml:space="preserve">. Em caso de dúvidas quanto ao preenchimento das respectivas ART’S no novo sistema, os profissionais podem acessar aos manuais de auxílio disponíveis através do link: </w:t>
      </w:r>
      <w:hyperlink r:id="rId8" w:history="1">
        <w:r>
          <w:rPr>
            <w:rStyle w:val="Hyperlink"/>
          </w:rPr>
          <w:t>https://www.crea-mt.org.br/portal/art/manuais/</w:t>
        </w:r>
      </w:hyperlink>
      <w:r>
        <w:t xml:space="preserve">, </w:t>
      </w:r>
      <w:r>
        <w:rPr>
          <w:b w:val="0"/>
          <w:sz w:val="22"/>
        </w:rPr>
        <w:t>ou em nossos canais de atendimento: 3315-3002/ 3315-3003/3315-3005.</w:t>
      </w:r>
    </w:p>
    <w:p w14:paraId="1DEF4545" w14:textId="77777777" w:rsidR="0031670A" w:rsidRDefault="00D44F0A">
      <w:pPr>
        <w:pStyle w:val="Corpodetexto21"/>
        <w:numPr>
          <w:ilvl w:val="0"/>
          <w:numId w:val="3"/>
        </w:numPr>
        <w:ind w:left="0" w:firstLine="0"/>
        <w:jc w:val="both"/>
        <w:rPr>
          <w:sz w:val="24"/>
          <w:szCs w:val="22"/>
        </w:rPr>
      </w:pPr>
      <w:r>
        <w:rPr>
          <w:sz w:val="22"/>
        </w:rPr>
        <w:t xml:space="preserve">IMPORTANTE: </w:t>
      </w:r>
      <w:r>
        <w:rPr>
          <w:b w:val="0"/>
          <w:sz w:val="22"/>
        </w:rPr>
        <w:t xml:space="preserve">O número da ART só será gerado após a confirmação de seu pagamento, este processo poderá levar até 24 horas. </w:t>
      </w:r>
    </w:p>
    <w:p w14:paraId="7F411851" w14:textId="77777777" w:rsidR="0031670A" w:rsidRDefault="0031670A">
      <w:pPr>
        <w:pStyle w:val="Corpodetexto21"/>
        <w:jc w:val="both"/>
        <w:rPr>
          <w:b w:val="0"/>
          <w:sz w:val="22"/>
          <w:szCs w:val="22"/>
        </w:rPr>
      </w:pPr>
    </w:p>
    <w:p w14:paraId="7F4EDABA" w14:textId="77777777" w:rsidR="0031670A" w:rsidRDefault="00D44F0A">
      <w:pPr>
        <w:tabs>
          <w:tab w:val="left" w:pos="540"/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lastRenderedPageBreak/>
        <w:t>APRESENTAÇÃO DAS ANOTAÇÕES DE RESPONABILIDADES TÉCNICAS – ART</w:t>
      </w:r>
    </w:p>
    <w:p w14:paraId="0F2A02CA" w14:textId="77777777" w:rsidR="0031670A" w:rsidRDefault="0031670A">
      <w:pPr>
        <w:tabs>
          <w:tab w:val="left" w:pos="540"/>
          <w:tab w:val="left" w:pos="720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59B9C48A" w14:textId="77777777" w:rsidR="0031670A" w:rsidRDefault="00D44F0A">
      <w:pPr>
        <w:pStyle w:val="Corpodetexto21"/>
        <w:numPr>
          <w:ilvl w:val="0"/>
          <w:numId w:val="4"/>
        </w:numPr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Para </w:t>
      </w:r>
      <w:r>
        <w:rPr>
          <w:sz w:val="22"/>
          <w:szCs w:val="22"/>
        </w:rPr>
        <w:t>montagem de estruturas de arquibancadas, camarotes, palcos</w:t>
      </w:r>
      <w:r>
        <w:rPr>
          <w:b w:val="0"/>
          <w:sz w:val="22"/>
          <w:szCs w:val="22"/>
        </w:rPr>
        <w:t xml:space="preserve"> é necessário que o responsável pelo evento apresente junto ao CREA-MT as </w:t>
      </w:r>
      <w:proofErr w:type="spellStart"/>
      <w:r>
        <w:rPr>
          <w:sz w:val="22"/>
          <w:szCs w:val="22"/>
        </w:rPr>
        <w:t>ART’s</w:t>
      </w:r>
      <w:proofErr w:type="spellEnd"/>
      <w:r>
        <w:rPr>
          <w:b w:val="0"/>
          <w:sz w:val="22"/>
          <w:szCs w:val="22"/>
        </w:rPr>
        <w:t xml:space="preserve"> – Anotações de Responsabilidades Técnicas referentes à elaboração dos projetos, os respectivos </w:t>
      </w:r>
      <w:r>
        <w:rPr>
          <w:sz w:val="22"/>
          <w:szCs w:val="22"/>
        </w:rPr>
        <w:t>Memoriais Descritivos</w:t>
      </w:r>
      <w:r>
        <w:rPr>
          <w:b w:val="0"/>
          <w:sz w:val="22"/>
          <w:szCs w:val="22"/>
        </w:rPr>
        <w:t xml:space="preserve"> e as </w:t>
      </w:r>
      <w:proofErr w:type="spellStart"/>
      <w:r>
        <w:rPr>
          <w:b w:val="0"/>
          <w:sz w:val="22"/>
          <w:szCs w:val="22"/>
        </w:rPr>
        <w:t>ARTs</w:t>
      </w:r>
      <w:proofErr w:type="spellEnd"/>
      <w:r>
        <w:rPr>
          <w:b w:val="0"/>
          <w:sz w:val="22"/>
          <w:szCs w:val="22"/>
        </w:rPr>
        <w:t xml:space="preserve"> </w:t>
      </w:r>
      <w:r>
        <w:rPr>
          <w:sz w:val="22"/>
          <w:szCs w:val="22"/>
        </w:rPr>
        <w:t>das execuções/montagens das referidas estruturas</w:t>
      </w:r>
      <w:r>
        <w:rPr>
          <w:b w:val="0"/>
          <w:sz w:val="22"/>
          <w:szCs w:val="22"/>
        </w:rPr>
        <w:t>, bem como os contratos firmados entre a realizadora do evento e o profissional.</w:t>
      </w:r>
    </w:p>
    <w:p w14:paraId="46B5D513" w14:textId="77777777" w:rsidR="0031670A" w:rsidRDefault="0031670A">
      <w:pPr>
        <w:pStyle w:val="Corpodetexto21"/>
        <w:jc w:val="both"/>
        <w:rPr>
          <w:b w:val="0"/>
          <w:sz w:val="22"/>
          <w:szCs w:val="22"/>
        </w:rPr>
      </w:pPr>
    </w:p>
    <w:p w14:paraId="48BC05CE" w14:textId="77777777" w:rsidR="0031670A" w:rsidRDefault="00D44F0A">
      <w:pPr>
        <w:tabs>
          <w:tab w:val="left" w:pos="540"/>
          <w:tab w:val="left" w:pos="720"/>
        </w:tabs>
        <w:spacing w:after="0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SOBRE AS ART’S DOS PROJETOS DE ESTRUTURAS DE ARQUIBANCADAS, CAMAROTES, PALCOS E TENDAS:</w:t>
      </w:r>
    </w:p>
    <w:p w14:paraId="703789BF" w14:textId="77777777" w:rsidR="0031670A" w:rsidRDefault="00D44F0A">
      <w:pPr>
        <w:tabs>
          <w:tab w:val="left" w:pos="540"/>
          <w:tab w:val="left" w:pos="720"/>
        </w:tabs>
        <w:spacing w:after="0" w:line="240" w:lineRule="auto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A emissão da ART da elaboração de projetos/memoriais descritivos pode ser realizada em qualquer um dos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CREAs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do país;</w:t>
      </w:r>
    </w:p>
    <w:p w14:paraId="1DAC6365" w14:textId="77777777" w:rsidR="0031670A" w:rsidRDefault="00D44F0A">
      <w:pPr>
        <w:widowControl/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 emissão da ART referente à execução/montagem/instalação de um projeto, devidamente elaborado por profissional habilitado, deve ser realizado por profissional da jurisdição na qual o projeto será executado. Destaca-se que é necessária a participação efetiva do profissional, ou seja, é preciso que o profissional contratado esteja presente e acompanhe todo o trabalho;</w:t>
      </w:r>
    </w:p>
    <w:p w14:paraId="796DC8AB" w14:textId="647C7815" w:rsidR="0031670A" w:rsidRPr="00D14B4E" w:rsidRDefault="00D14B4E">
      <w:pPr>
        <w:widowControl/>
        <w:numPr>
          <w:ilvl w:val="0"/>
          <w:numId w:val="5"/>
        </w:numPr>
        <w:tabs>
          <w:tab w:val="left" w:pos="5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4B4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ART – Anotação de Responsabilidade Técnica, por profissional legalmente habilitado,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referente laudo de avaliação técnica das</w:t>
      </w:r>
      <w:r w:rsidR="00D44F0A">
        <w:rPr>
          <w:rFonts w:ascii="Times New Roman" w:hAnsi="Times New Roman" w:cs="Times New Roman"/>
          <w:color w:val="000000"/>
          <w:sz w:val="22"/>
          <w:szCs w:val="22"/>
        </w:rPr>
        <w:t xml:space="preserve"> estruturas fixas, como palco e arquibancadas,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construídas </w:t>
      </w:r>
      <w:r w:rsidR="00D44F0A">
        <w:rPr>
          <w:rFonts w:ascii="Times New Roman" w:hAnsi="Times New Roman" w:cs="Times New Roman"/>
          <w:color w:val="000000"/>
          <w:sz w:val="22"/>
          <w:szCs w:val="22"/>
        </w:rPr>
        <w:t xml:space="preserve">há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mais de 03 (três) anos, </w:t>
      </w:r>
      <w:r w:rsidR="00D44F0A">
        <w:rPr>
          <w:rFonts w:ascii="Times New Roman" w:hAnsi="Times New Roman" w:cs="Times New Roman"/>
          <w:color w:val="000000"/>
          <w:sz w:val="22"/>
          <w:szCs w:val="22"/>
        </w:rPr>
        <w:t>a fim de verificar as condições construt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ivas, </w:t>
      </w:r>
      <w:r w:rsidRPr="00D14B4E">
        <w:rPr>
          <w:rFonts w:ascii="Times New Roman" w:hAnsi="Times New Roman" w:cs="Times New Roman"/>
          <w:b/>
          <w:color w:val="000000"/>
          <w:sz w:val="22"/>
          <w:szCs w:val="22"/>
        </w:rPr>
        <w:t>mediante apresentação de Laudo Técnico Circunstanciado.</w:t>
      </w:r>
    </w:p>
    <w:p w14:paraId="03B8440E" w14:textId="77777777" w:rsidR="0031670A" w:rsidRDefault="00D44F0A">
      <w:pPr>
        <w:pStyle w:val="PargrafodaLista"/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D14B4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Emissão de </w:t>
      </w:r>
      <w:r w:rsidRPr="00D14B4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ART das instalações de equipamentos de som e iluminação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 profissional deve avaliar as instalações existentes e assumir total responsabilidade pelas instalações dos equipamentos.</w:t>
      </w:r>
    </w:p>
    <w:p w14:paraId="4F179158" w14:textId="77777777" w:rsidR="0031670A" w:rsidRDefault="00D44F0A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Layout de segurança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do local, elaborado por profissional legalmente habilitado e possuidor de especialização em Engenharia de Segurança, com as devidas especificações técnicas, de acordo com as normas técnicas de segurança e com as exigências do Corpo de Bombeiros Militar.</w:t>
      </w:r>
    </w:p>
    <w:p w14:paraId="562FC904" w14:textId="6F944E9E" w:rsidR="0031670A" w:rsidRDefault="00D14B4E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D14B4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ART – Anotação de Responsabilidade Técnica, por profissional legalmente habilitado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ref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="00D44F0A">
        <w:rPr>
          <w:rFonts w:ascii="Times New Roman" w:hAnsi="Times New Roman" w:cs="Times New Roman"/>
          <w:color w:val="000000"/>
          <w:sz w:val="22"/>
          <w:szCs w:val="22"/>
          <w:u w:val="single"/>
        </w:rPr>
        <w:t>Instalação de Grupo Gerador</w:t>
      </w:r>
      <w:r w:rsidR="00D44F0A">
        <w:rPr>
          <w:rFonts w:ascii="Times New Roman" w:hAnsi="Times New Roman" w:cs="Times New Roman"/>
          <w:color w:val="000000"/>
          <w:sz w:val="22"/>
          <w:szCs w:val="22"/>
        </w:rPr>
        <w:t xml:space="preserve"> deve ser realizada por profissional legalmente habilitado e mediante ART. </w:t>
      </w:r>
    </w:p>
    <w:p w14:paraId="023F7573" w14:textId="77777777" w:rsidR="0031670A" w:rsidRDefault="00D44F0A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D14B4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ART – Anotação de Responsabilidade Técnica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referente à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estrutura de adereços em </w:t>
      </w: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carros alegóricos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que possam significar possibilidade de desabamento/ incêndio. </w:t>
      </w:r>
    </w:p>
    <w:p w14:paraId="57896BD5" w14:textId="77777777" w:rsidR="0031670A" w:rsidRDefault="00D44F0A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D14B4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ART – Anotação de Responsabilidade Técnica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por profissional legalmente habilitado na área de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segurança quando da realização de show pirotécnico</w:t>
      </w:r>
      <w:r>
        <w:rPr>
          <w:rFonts w:ascii="Times New Roman" w:hAnsi="Times New Roman" w:cs="Times New Roman"/>
          <w:color w:val="000000"/>
          <w:sz w:val="22"/>
          <w:szCs w:val="22"/>
        </w:rPr>
        <w:t>. (O profissional deverá apresentar cópia da RG e carteira de Blaster).</w:t>
      </w:r>
    </w:p>
    <w:p w14:paraId="4DFAA6EB" w14:textId="77777777" w:rsidR="0031670A" w:rsidRDefault="00D44F0A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Montagem de Parque de Diversão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deve-se apresentar </w:t>
      </w:r>
      <w:proofErr w:type="spellStart"/>
      <w:r>
        <w:rPr>
          <w:rFonts w:ascii="Times New Roman" w:hAnsi="Times New Roman" w:cs="Times New Roman"/>
          <w:b/>
          <w:color w:val="000000"/>
          <w:sz w:val="22"/>
          <w:szCs w:val="22"/>
        </w:rPr>
        <w:t>ART’s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acompanhadas de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Laudo Técnico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Circunstanciado, acerca das condições de operacionalidade e de qualidade técnica da montagem e instalação de todos os equipamentos que atendem o empreendimento, emitido por profissional legalmente habilitado, conforme Decisão Normativa 052, de 25 de agosto de 1994.</w:t>
      </w:r>
    </w:p>
    <w:p w14:paraId="23E25C5D" w14:textId="34C9A297" w:rsidR="0031670A" w:rsidRDefault="00D44F0A">
      <w:pPr>
        <w:widowControl/>
        <w:numPr>
          <w:ilvl w:val="0"/>
          <w:numId w:val="5"/>
        </w:numPr>
        <w:tabs>
          <w:tab w:val="clear" w:pos="720"/>
          <w:tab w:val="left" w:pos="567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ART das Instalações de equipamentos de circuito interno de segurança (câmeras).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O profissional deve avaliar as instalações existentes, se for o caso, bem como assumir total responsabilidade pelas instalações dos equipamentos. </w:t>
      </w:r>
    </w:p>
    <w:p w14:paraId="366F5765" w14:textId="3CE0ADA8" w:rsidR="00596F00" w:rsidRDefault="00596F00" w:rsidP="00596F00">
      <w:pPr>
        <w:widowControl/>
        <w:tabs>
          <w:tab w:val="left" w:pos="567"/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596F00">
        <w:rPr>
          <w:rFonts w:ascii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3A6EB2" wp14:editId="38CA9DB8">
                <wp:simplePos x="0" y="0"/>
                <wp:positionH relativeFrom="margin">
                  <wp:align>right</wp:align>
                </wp:positionH>
                <wp:positionV relativeFrom="paragraph">
                  <wp:posOffset>347345</wp:posOffset>
                </wp:positionV>
                <wp:extent cx="6629400" cy="148590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78DB0" w14:textId="5A4828DA" w:rsidR="00596F00" w:rsidRPr="00596F00" w:rsidRDefault="00596F00" w:rsidP="00596F00">
                            <w:pPr>
                              <w:pStyle w:val="Corpodetexto21"/>
                              <w:tabs>
                                <w:tab w:val="left" w:pos="720"/>
                              </w:tabs>
                              <w:jc w:val="both"/>
                              <w:rPr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>OBS:</w:t>
                            </w:r>
                          </w:p>
                          <w:p w14:paraId="71739517" w14:textId="4CFBE8E1" w:rsidR="00596F00" w:rsidRPr="00596F00" w:rsidRDefault="00596F00" w:rsidP="00596F00">
                            <w:pPr>
                              <w:pStyle w:val="Corpodetexto2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jc w:val="both"/>
                              <w:rPr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 xml:space="preserve"> Em não havendo instalação de quaisquer itens acima, que se estes sejam declarados formalmente, mediante assinatura do responsável pelo evento.</w:t>
                            </w:r>
                          </w:p>
                          <w:p w14:paraId="7721EE1B" w14:textId="77777777" w:rsidR="00596F00" w:rsidRPr="00596F00" w:rsidRDefault="00596F00" w:rsidP="00596F00">
                            <w:pPr>
                              <w:pStyle w:val="Corpodetexto21"/>
                              <w:tabs>
                                <w:tab w:val="left" w:pos="720"/>
                              </w:tabs>
                              <w:ind w:left="720"/>
                              <w:jc w:val="both"/>
                              <w:rPr>
                                <w:color w:val="000000"/>
                                <w:sz w:val="24"/>
                                <w:szCs w:val="22"/>
                              </w:rPr>
                            </w:pPr>
                          </w:p>
                          <w:p w14:paraId="5DE2053C" w14:textId="35B4A1A0" w:rsidR="00596F00" w:rsidRPr="00596F00" w:rsidRDefault="00596F00" w:rsidP="00596F00">
                            <w:pPr>
                              <w:pStyle w:val="Corpodetexto21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720"/>
                              </w:tabs>
                              <w:jc w:val="both"/>
                              <w:rPr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 xml:space="preserve">As documentações citadas acima, deverão ser encaminhadas à Coordenadoria de Fiscalização Preventiva e Integrada, através do </w:t>
                            </w:r>
                            <w:proofErr w:type="spellStart"/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>email</w:t>
                            </w:r>
                            <w:proofErr w:type="spellEnd"/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596F00">
                                <w:rPr>
                                  <w:rStyle w:val="Hyperlink"/>
                                  <w:sz w:val="24"/>
                                  <w:szCs w:val="22"/>
                                </w:rPr>
                                <w:t>cpfi@crea-mt.org.br</w:t>
                              </w:r>
                            </w:hyperlink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 xml:space="preserve"> até o dia 18/08, para devida análise e posterior elaboração do Relatório de Conformidade ao Termo de Responsabilidade</w:t>
                            </w:r>
                            <w:r>
                              <w:rPr>
                                <w:color w:val="000000"/>
                                <w:sz w:val="24"/>
                                <w:szCs w:val="22"/>
                              </w:rPr>
                              <w:t>.</w:t>
                            </w:r>
                            <w:r w:rsidRPr="00596F00">
                              <w:rPr>
                                <w:color w:val="000000"/>
                                <w:sz w:val="24"/>
                                <w:szCs w:val="22"/>
                              </w:rPr>
                              <w:t xml:space="preserve"> </w:t>
                            </w:r>
                          </w:p>
                          <w:p w14:paraId="340BEB5D" w14:textId="6D2C5F12" w:rsidR="00596F00" w:rsidRDefault="00596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6E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70.8pt;margin-top:27.35pt;width:522pt;height:11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">
                <v:textbox>
                  <w:txbxContent>
                    <w:p w14:paraId="7D278DB0" w14:textId="5A4828DA" w:rsidR="00596F00" w:rsidRPr="00596F00" w:rsidRDefault="00596F00" w:rsidP="00596F00">
                      <w:pPr>
                        <w:pStyle w:val="Corpodetexto21"/>
                        <w:tabs>
                          <w:tab w:val="left" w:pos="720"/>
                        </w:tabs>
                        <w:jc w:val="both"/>
                        <w:rPr>
                          <w:color w:val="000000"/>
                          <w:sz w:val="24"/>
                          <w:szCs w:val="22"/>
                        </w:rPr>
                      </w:pPr>
                      <w:r w:rsidRPr="00596F00">
                        <w:rPr>
                          <w:color w:val="000000"/>
                          <w:sz w:val="24"/>
                          <w:szCs w:val="22"/>
                        </w:rPr>
                        <w:t>OBS:</w:t>
                      </w:r>
                    </w:p>
                    <w:p w14:paraId="71739517" w14:textId="4CFBE8E1" w:rsidR="00596F00" w:rsidRPr="00596F00" w:rsidRDefault="00596F00" w:rsidP="00596F00">
                      <w:pPr>
                        <w:pStyle w:val="Corpodetexto21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jc w:val="both"/>
                        <w:rPr>
                          <w:color w:val="000000"/>
                          <w:sz w:val="24"/>
                          <w:szCs w:val="22"/>
                        </w:rPr>
                      </w:pPr>
                      <w:r w:rsidRPr="00596F00">
                        <w:rPr>
                          <w:color w:val="000000"/>
                          <w:sz w:val="24"/>
                          <w:szCs w:val="22"/>
                        </w:rPr>
                        <w:t xml:space="preserve"> Em não havendo instalação de quaisquer itens acima, que se estes sejam declarados formalmente, mediante assinatura do responsável pelo evento.</w:t>
                      </w:r>
                    </w:p>
                    <w:p w14:paraId="7721EE1B" w14:textId="77777777" w:rsidR="00596F00" w:rsidRPr="00596F00" w:rsidRDefault="00596F00" w:rsidP="00596F00">
                      <w:pPr>
                        <w:pStyle w:val="Corpodetexto21"/>
                        <w:tabs>
                          <w:tab w:val="left" w:pos="720"/>
                        </w:tabs>
                        <w:ind w:left="720"/>
                        <w:jc w:val="both"/>
                        <w:rPr>
                          <w:color w:val="000000"/>
                          <w:sz w:val="24"/>
                          <w:szCs w:val="22"/>
                        </w:rPr>
                      </w:pPr>
                    </w:p>
                    <w:p w14:paraId="5DE2053C" w14:textId="35B4A1A0" w:rsidR="00596F00" w:rsidRPr="00596F00" w:rsidRDefault="00596F00" w:rsidP="00596F00">
                      <w:pPr>
                        <w:pStyle w:val="Corpodetexto21"/>
                        <w:numPr>
                          <w:ilvl w:val="0"/>
                          <w:numId w:val="19"/>
                        </w:numPr>
                        <w:tabs>
                          <w:tab w:val="left" w:pos="720"/>
                        </w:tabs>
                        <w:jc w:val="both"/>
                        <w:rPr>
                          <w:color w:val="000000"/>
                          <w:sz w:val="24"/>
                          <w:szCs w:val="22"/>
                        </w:rPr>
                      </w:pPr>
                      <w:r w:rsidRPr="00596F00">
                        <w:rPr>
                          <w:color w:val="000000"/>
                          <w:sz w:val="24"/>
                          <w:szCs w:val="22"/>
                        </w:rPr>
                        <w:t xml:space="preserve">As documentações citadas acima, deverão ser encaminhadas à Coordenadoria de Fiscalização Preventiva e Integrada, através do email </w:t>
                      </w:r>
                      <w:hyperlink r:id="rId10" w:history="1">
                        <w:r w:rsidRPr="00596F00">
                          <w:rPr>
                            <w:rStyle w:val="Hyperlink"/>
                            <w:sz w:val="24"/>
                            <w:szCs w:val="22"/>
                          </w:rPr>
                          <w:t>cpfi@crea-mt.org.br</w:t>
                        </w:r>
                      </w:hyperlink>
                      <w:r w:rsidRPr="00596F00">
                        <w:rPr>
                          <w:color w:val="000000"/>
                          <w:sz w:val="24"/>
                          <w:szCs w:val="22"/>
                        </w:rPr>
                        <w:t xml:space="preserve"> até o dia 18/08, para devida análise e posterior elaboração do Relatório de Conformidade ao Termo de Responsabilidade</w:t>
                      </w:r>
                      <w:r>
                        <w:rPr>
                          <w:color w:val="000000"/>
                          <w:sz w:val="24"/>
                          <w:szCs w:val="22"/>
                        </w:rPr>
                        <w:t>.</w:t>
                      </w:r>
                      <w:r w:rsidRPr="00596F00">
                        <w:rPr>
                          <w:color w:val="000000"/>
                          <w:sz w:val="24"/>
                          <w:szCs w:val="22"/>
                        </w:rPr>
                        <w:t xml:space="preserve"> </w:t>
                      </w:r>
                    </w:p>
                    <w:p w14:paraId="340BEB5D" w14:textId="6D2C5F12" w:rsidR="00596F00" w:rsidRDefault="00596F00"/>
                  </w:txbxContent>
                </v:textbox>
                <w10:wrap type="square" anchorx="margin"/>
              </v:shape>
            </w:pict>
          </mc:Fallback>
        </mc:AlternateContent>
      </w:r>
    </w:p>
    <w:p w14:paraId="59DB7A7A" w14:textId="2B58502B" w:rsidR="00596F00" w:rsidRDefault="00596F00" w:rsidP="00596F00">
      <w:pPr>
        <w:widowControl/>
        <w:tabs>
          <w:tab w:val="left" w:pos="567"/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2CE35977" w14:textId="1EB5BB57" w:rsidR="00596F00" w:rsidRDefault="00596F00" w:rsidP="00596F00">
      <w:pPr>
        <w:widowControl/>
        <w:tabs>
          <w:tab w:val="left" w:pos="567"/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68295FF3" w14:textId="77777777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CONSELHO REGIONAL DE ENFERMAGEM:</w:t>
      </w:r>
    </w:p>
    <w:p w14:paraId="1652CBC4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015FD38E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  <w:t xml:space="preserve">Encaminhar a relação completa da equipe de Enfermagem contendo Nome, CPF, Número de Inscrição do Coren-MT e data de validade da Carteira de Identidade Profissional (CIP), juntamente com a escala diária de serviço, em conformidade com a Lei 7.498/86, devendo, obrigatoriedade, dispor o profissional Enfermeiro, em todos os turnos, para supervisionar e coordenar a assistência de Enfermagem. Apresentar Certidão de Responsabilidade Técnica do Enfermeiro conforme disposto nas Resoluções Cofen nº. 509/2016 ou 685/2022, acessar site </w:t>
      </w:r>
      <w:hyperlink r:id="rId11" w:history="1">
        <w:r>
          <w:rPr>
            <w:rStyle w:val="Hyperlink"/>
            <w:b w:val="0"/>
            <w:color w:val="000000"/>
            <w:sz w:val="22"/>
            <w:szCs w:val="22"/>
          </w:rPr>
          <w:t>www.coren-mt.gov.br</w:t>
        </w:r>
      </w:hyperlink>
      <w:r>
        <w:rPr>
          <w:b w:val="0"/>
          <w:color w:val="000000"/>
          <w:sz w:val="22"/>
          <w:szCs w:val="22"/>
        </w:rPr>
        <w:t xml:space="preserve"> para maiores informações. </w:t>
      </w:r>
    </w:p>
    <w:p w14:paraId="5443AEA6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438FFBC2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05BA2489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51185431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2D62AD06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3D94951F" w14:textId="77777777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CONSELHO REGIONAL DE MEDICINA:</w:t>
      </w:r>
    </w:p>
    <w:p w14:paraId="0829AD38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41E6E07C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  <w:t>Requerer da empresa de Assistência Médica, a Certidão de Registro e de Responsabilidade Técnica do Médico em Ambulância do tipo D.</w:t>
      </w:r>
    </w:p>
    <w:p w14:paraId="57CB3A56" w14:textId="77777777" w:rsidR="00516BBD" w:rsidRDefault="00516BBD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72AA7F97" w14:textId="0B766346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JUIZADO DA INFÂNCIA E ADOLESCÊNCIA:</w:t>
      </w:r>
    </w:p>
    <w:p w14:paraId="11EDB380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670C01DA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  <w:t>Todos os eventos públicos que tenha a participação de crianças e adolescentes devem obter junto aos Juizados da Comarca o devido Alvará Judicial. Para tanto, deve-se apresentar requerimento com informações precisas sobre o (s) responsável(</w:t>
      </w:r>
      <w:proofErr w:type="spellStart"/>
      <w:r>
        <w:rPr>
          <w:b w:val="0"/>
          <w:color w:val="000000"/>
          <w:sz w:val="22"/>
          <w:szCs w:val="22"/>
        </w:rPr>
        <w:t>is</w:t>
      </w:r>
      <w:proofErr w:type="spellEnd"/>
      <w:r>
        <w:rPr>
          <w:b w:val="0"/>
          <w:color w:val="000000"/>
          <w:sz w:val="22"/>
          <w:szCs w:val="22"/>
        </w:rPr>
        <w:t>) pelo evento, nome, número de Registro de Identidade, CPF, endereço, telefone e outros documentos que forem necessários.</w:t>
      </w:r>
    </w:p>
    <w:p w14:paraId="068EEB23" w14:textId="77777777" w:rsidR="00516BBD" w:rsidRDefault="00516BBD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52AFE58E" w14:textId="2A89E124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PREFEITURAS MUNICIPAIS:</w:t>
      </w:r>
    </w:p>
    <w:p w14:paraId="41065EDD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2C721BCE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Providenciar licença especial para realização do evento junto à Secretaria Municipal do Meio Ambiente e Desenvolvimento Urbano (ou congênere que seja responsável por sua emissão);</w:t>
      </w:r>
    </w:p>
    <w:p w14:paraId="30A1674F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Apresentar cópia do contrato com a empresa de Assistência Médica de emergência para Ambulância tipo D. </w:t>
      </w:r>
    </w:p>
    <w:p w14:paraId="3B050164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Alvará de Localização e Funcionamento 2021 do local do evento;</w:t>
      </w:r>
    </w:p>
    <w:p w14:paraId="4A131BF0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Apresentar o pagamento da taxa referente ao ISSQN do evento a ser realizado, obtido junto à Secretaria de Finanças do Município;</w:t>
      </w:r>
    </w:p>
    <w:p w14:paraId="5A23B262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Apresentar comprovante de quitação da taxa referente ao FUNRESEG;</w:t>
      </w:r>
    </w:p>
    <w:p w14:paraId="267F3E88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Se o local possuir piscinas, atender as seguintes normas: Lei Municipal n° 3.667 de 24 Out 97, Lei Municipal n° 3.684 de 01 Dez 97, artigos n</w:t>
      </w:r>
      <w:r>
        <w:rPr>
          <w:b w:val="0"/>
          <w:color w:val="000000"/>
          <w:sz w:val="22"/>
          <w:szCs w:val="22"/>
          <w:vertAlign w:val="superscript"/>
        </w:rPr>
        <w:t>os</w:t>
      </w:r>
      <w:r>
        <w:rPr>
          <w:b w:val="0"/>
          <w:color w:val="000000"/>
          <w:sz w:val="22"/>
          <w:szCs w:val="22"/>
        </w:rPr>
        <w:t xml:space="preserve"> 33, 34, 35, 36, 37, 38, 39, 40 e 41 da Lei Complementar n° 004 de 24 Dez 92 (especifico para Cuiabá).</w:t>
      </w:r>
    </w:p>
    <w:p w14:paraId="7A8EB494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Para todos os eventos, o responsável deve providenciar que haja acesso e trânsito de pessoas com deficiência, principalmente banheiros e rampas, legislação do Governo Federal Lei nº. 10.098/00 Dec. Federal 5.296/04 e Norma Técnica da ABNT nº 9050/2015 e Lei Municipal caso houver. </w:t>
      </w:r>
    </w:p>
    <w:p w14:paraId="4FB2956A" w14:textId="77777777" w:rsidR="0031670A" w:rsidRDefault="00D44F0A">
      <w:pPr>
        <w:pStyle w:val="Corpodetexto21"/>
        <w:numPr>
          <w:ilvl w:val="0"/>
          <w:numId w:val="6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Autorização do proprietário do imóvel caso locado.</w:t>
      </w:r>
    </w:p>
    <w:p w14:paraId="111AE2E5" w14:textId="33DF5503" w:rsidR="0031670A" w:rsidRDefault="0031670A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19CD2FE1" w14:textId="77777777" w:rsidR="00516BBD" w:rsidRDefault="00516BBD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4F7F276F" w14:textId="77777777" w:rsidR="0031670A" w:rsidRDefault="00D44F0A">
      <w:pPr>
        <w:pStyle w:val="Corpodetexto21"/>
        <w:tabs>
          <w:tab w:val="left" w:pos="72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PROCON-MT:</w:t>
      </w:r>
    </w:p>
    <w:p w14:paraId="390B4558" w14:textId="77777777" w:rsidR="0031670A" w:rsidRDefault="0031670A">
      <w:pPr>
        <w:pStyle w:val="Corpodetexto21"/>
        <w:tabs>
          <w:tab w:val="left" w:pos="720"/>
        </w:tabs>
        <w:rPr>
          <w:sz w:val="24"/>
          <w:szCs w:val="24"/>
          <w:u w:val="single"/>
        </w:rPr>
      </w:pPr>
    </w:p>
    <w:p w14:paraId="007014AB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Em havendo relações de consumo o Promotor de Eventos deve atentar-se para a Legislação Consumerista, conforme dita a Lei n° 8.078/90 Código de Defesa do Consumidor.</w:t>
      </w:r>
    </w:p>
    <w:p w14:paraId="66D59379" w14:textId="2AAF3C8D" w:rsidR="0031670A" w:rsidRDefault="00D44F0A">
      <w:pPr>
        <w:pStyle w:val="Corpodetexto21"/>
        <w:tabs>
          <w:tab w:val="left" w:pos="720"/>
        </w:tabs>
        <w:jc w:val="both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ab/>
        <w:t xml:space="preserve">Atender o Artigo 6º inciso III do Código de Defesa do Consumidor Lei n° 8.078/90 – no que dispõe sobre os direitos básicos do Consumidor: “(...) </w:t>
      </w:r>
      <w:r>
        <w:rPr>
          <w:b w:val="0"/>
          <w:i/>
          <w:sz w:val="22"/>
          <w:szCs w:val="22"/>
        </w:rPr>
        <w:t>a informação adequada e clara sobre os diferentes produtos e serviços, com especificação correta de quantidade, características, composição, qualidade e preço”;</w:t>
      </w:r>
    </w:p>
    <w:p w14:paraId="70436AAF" w14:textId="606E308C" w:rsidR="003526C8" w:rsidRDefault="003526C8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ab/>
      </w:r>
      <w:r w:rsidRPr="003526C8">
        <w:rPr>
          <w:b w:val="0"/>
          <w:i/>
          <w:sz w:val="22"/>
          <w:szCs w:val="22"/>
        </w:rPr>
        <w:t>Emitir documentos fiscais com a inclusão do nome, endereço e telefone do PROCON-MT e informar nestes o valor aproximado correspondente à totalidade dos tributos federais, estaduais e municipais, cuja incidência influi na formação dos respectivos preços de venda;</w:t>
      </w:r>
    </w:p>
    <w:p w14:paraId="2A87815F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Se abster de comercializar quaisquer produtos em desacordo com o estabelecido no Artigo 18, parágrafo 6º, inciso I</w:t>
      </w:r>
      <w:proofErr w:type="gramStart"/>
      <w:r>
        <w:rPr>
          <w:b w:val="0"/>
          <w:sz w:val="22"/>
          <w:szCs w:val="22"/>
        </w:rPr>
        <w:t xml:space="preserve">: </w:t>
      </w:r>
      <w:r>
        <w:rPr>
          <w:b w:val="0"/>
          <w:i/>
          <w:sz w:val="22"/>
          <w:szCs w:val="22"/>
        </w:rPr>
        <w:t>”</w:t>
      </w:r>
      <w:proofErr w:type="gramEnd"/>
      <w:r>
        <w:rPr>
          <w:b w:val="0"/>
          <w:i/>
          <w:sz w:val="22"/>
          <w:szCs w:val="22"/>
        </w:rPr>
        <w:t>(...) são impróprios para consumo produtos cujos prazos de validade estejam vencidos”.</w:t>
      </w:r>
    </w:p>
    <w:p w14:paraId="2B7AD47B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Quando houver cobrança de ingresso para eventos e apresentações, deverá cumprir toda legislação sobre as gratuidades dispostas nas leis municipais e estaduais;</w:t>
      </w:r>
    </w:p>
    <w:p w14:paraId="22364AA7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Quanto à meia-entrada, deverá observar além das leis municipais, estaduais, o disposto na Lei Federal 12.933/2013 (Lei Geral da Meia Entrada).</w:t>
      </w:r>
    </w:p>
    <w:p w14:paraId="17DAA596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Não praticar a cobrança de consumação mínima, por configurar venda casada.</w:t>
      </w:r>
    </w:p>
    <w:p w14:paraId="3A0F38D2" w14:textId="6049E5BE" w:rsidR="0031670A" w:rsidRDefault="00D44F0A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Não praticar cobrança diferenciada para o mesmo produto e serviço, quando não houver variação do tempo e forma de pagamento.</w:t>
      </w:r>
    </w:p>
    <w:p w14:paraId="0DFF9D57" w14:textId="04FDE540" w:rsidR="003526C8" w:rsidRDefault="003526C8">
      <w:pPr>
        <w:pStyle w:val="Corpodetexto21"/>
        <w:tabs>
          <w:tab w:val="left" w:pos="720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3526C8">
        <w:rPr>
          <w:b w:val="0"/>
          <w:sz w:val="22"/>
          <w:szCs w:val="22"/>
        </w:rPr>
        <w:t>Não praticar a cobrança de multa e nem utilizar de métodos coercitivos pela perda de comanda.</w:t>
      </w:r>
    </w:p>
    <w:p w14:paraId="75039525" w14:textId="77777777" w:rsidR="0031670A" w:rsidRDefault="00D44F0A">
      <w:pPr>
        <w:widowControl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Observações:</w:t>
      </w:r>
    </w:p>
    <w:p w14:paraId="257DA9E0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Afixar em pontos de ampla visibilidade no estabelecimento, de forma clara e ostensiva, cartazes ou similares com avisos sobre a proibição de fumar no local, informando nestes, os telefones e endereços do PROCON-MT (Av. Agrícola Paes de Barros, s/nº, Arena Pantanal, Ala Norte, 3º. Andar, Sala 374, Bairro Verdão, Cuiabá-MT, CEP: 78030-210, Telefone 65 98472-3548) e da Vigilância Sanitária Municipal, nos ternos do Art. 2º, §3º da Lei Estadual nº 9.259/09 com alterações da Lei Estadual nº 9552/11.</w:t>
      </w:r>
    </w:p>
    <w:p w14:paraId="60EAAC8C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Informar ao público consumidor em local claro e ostensivo nas entradas do estabelecimento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através de cartaz ou instrumento equivalente</w:t>
      </w:r>
      <w:r>
        <w:rPr>
          <w:rFonts w:ascii="Times New Roman" w:hAnsi="Times New Roman" w:cs="Times New Roman"/>
          <w:i/>
          <w:sz w:val="20"/>
          <w:szCs w:val="20"/>
        </w:rPr>
        <w:t xml:space="preserve">, sobre a </w:t>
      </w:r>
      <w:r>
        <w:rPr>
          <w:rFonts w:ascii="Times New Roman" w:hAnsi="Times New Roman" w:cs="Times New Roman"/>
          <w:b/>
          <w:i/>
          <w:sz w:val="20"/>
          <w:szCs w:val="20"/>
        </w:rPr>
        <w:t>capacidade máxima de lotação</w:t>
      </w:r>
      <w:r>
        <w:rPr>
          <w:rFonts w:ascii="Times New Roman" w:hAnsi="Times New Roman" w:cs="Times New Roman"/>
          <w:i/>
          <w:sz w:val="20"/>
          <w:szCs w:val="20"/>
        </w:rPr>
        <w:t xml:space="preserve"> (números de pessoas dentro do estabelecimento), 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o alvará de funcionamento e o alvará de prevenção e proteção contra incêndios</w:t>
      </w:r>
      <w:r>
        <w:rPr>
          <w:rFonts w:ascii="Times New Roman" w:hAnsi="Times New Roman" w:cs="Times New Roman"/>
          <w:i/>
          <w:sz w:val="20"/>
          <w:szCs w:val="20"/>
        </w:rPr>
        <w:t>, bem como suas respectivas datas de validades, conforme disposto no artigo 6º III e 31 do Código de Defesa do Consumidor (Lei Federal n° 8078 de 11/09/1990) e na Portaria nº 3.083, de 25 de setembro de 2013;</w:t>
      </w:r>
    </w:p>
    <w:p w14:paraId="25EA5D37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Manter a relação de preços dos produtos e serviços comercializados (ou cardápio) disponível na parte externa do estabelecimento, acessível antes do pagamento de qualquer ingresso, conforme Decreto Federal n° 5.903/2006;</w:t>
      </w:r>
    </w:p>
    <w:p w14:paraId="2B06BF1A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Caso seja cobrado couvert artístico, deverá informar prévia e ostensivamente, antes da entrada do consumidor no local de cobrança;</w:t>
      </w:r>
    </w:p>
    <w:p w14:paraId="3CDE2428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 cobrança de valor adicional sobre o serviço do garçom deve sempre ser informado previamente, sendo opcional ao consumidor;</w:t>
      </w:r>
    </w:p>
    <w:p w14:paraId="311DF8F6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Manter afixado cartazes informando a proibição de comercialização ou entrega de qualquer forma de bebidas alcoólicas aos menores de 18 anos, conforme especificamente indicado no Decreto Estadual n° 1.588/2013, artigo 3°, "É expressamente proibida a venda, oferta, fornecimento, entrega e permissão de consumo de bebida alcóolica a menores de 18 anos de idade, ainda que gratuitamente";</w:t>
      </w:r>
    </w:p>
    <w:p w14:paraId="65E4B474" w14:textId="77777777" w:rsidR="0031670A" w:rsidRDefault="00D44F0A">
      <w:pPr>
        <w:pStyle w:val="PargrafodaLista"/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Manter disponível (VISÍVEL e de FÁCIL ACESSO) ao público consumidor ao menos um exemplar do código de Defesa do Consumidor (Lei Federal n° 8.078/1990).</w:t>
      </w:r>
    </w:p>
    <w:p w14:paraId="11EBC419" w14:textId="77777777" w:rsidR="0031670A" w:rsidRDefault="0031670A">
      <w:pPr>
        <w:pStyle w:val="PargrafodaLista"/>
        <w:widowControl/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i/>
          <w:sz w:val="20"/>
          <w:szCs w:val="20"/>
        </w:rPr>
      </w:pPr>
    </w:p>
    <w:p w14:paraId="308F13E6" w14:textId="77777777" w:rsidR="00516BBD" w:rsidRDefault="00516BBD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1CCEB386" w14:textId="6FB291C5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VIGILÂNCIA SANITÁRIA:</w:t>
      </w:r>
    </w:p>
    <w:p w14:paraId="40C9D73F" w14:textId="77777777" w:rsidR="0031670A" w:rsidRDefault="0031670A">
      <w:pPr>
        <w:pStyle w:val="Corpodetexto21"/>
        <w:tabs>
          <w:tab w:val="left" w:pos="720"/>
        </w:tabs>
        <w:rPr>
          <w:color w:val="000000"/>
          <w:sz w:val="22"/>
          <w:szCs w:val="22"/>
          <w:u w:val="single"/>
        </w:rPr>
      </w:pPr>
    </w:p>
    <w:p w14:paraId="1A53753D" w14:textId="77777777" w:rsidR="0031670A" w:rsidRDefault="00D44F0A">
      <w:pPr>
        <w:pStyle w:val="Corpodetexto21"/>
        <w:tabs>
          <w:tab w:val="left" w:pos="72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ORIENTAÇÕES:</w:t>
      </w:r>
    </w:p>
    <w:p w14:paraId="0EC5677A" w14:textId="77777777" w:rsidR="0031670A" w:rsidRDefault="00D44F0A">
      <w:pPr>
        <w:pStyle w:val="Corpodetexto21"/>
        <w:numPr>
          <w:ilvl w:val="0"/>
          <w:numId w:val="8"/>
        </w:numPr>
        <w:tabs>
          <w:tab w:val="clear" w:pos="360"/>
          <w:tab w:val="left" w:pos="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Apresentar contrato referente à disponibilização de sanitários químicos se a opção for esta, atendendo a demanda de público do evento;</w:t>
      </w:r>
    </w:p>
    <w:p w14:paraId="461F5D48" w14:textId="77777777" w:rsidR="0031670A" w:rsidRDefault="00D44F0A">
      <w:pPr>
        <w:pStyle w:val="Corpodetexto21"/>
        <w:numPr>
          <w:ilvl w:val="0"/>
          <w:numId w:val="8"/>
        </w:numPr>
        <w:tabs>
          <w:tab w:val="clear" w:pos="360"/>
          <w:tab w:val="left" w:pos="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Limpeza geral e de todos os sanitários destinados ao público, bem como, o uso de sabão líquido, papel higiênico, papel toalha, vasos sanitários com assentos e cestos de lixo com tampa, revestidos de saco plástico;</w:t>
      </w:r>
    </w:p>
    <w:p w14:paraId="3C4A6235" w14:textId="77777777" w:rsidR="0031670A" w:rsidRDefault="00D44F0A">
      <w:pPr>
        <w:pStyle w:val="Corpodetexto21"/>
        <w:numPr>
          <w:ilvl w:val="0"/>
          <w:numId w:val="8"/>
        </w:numPr>
        <w:tabs>
          <w:tab w:val="clear" w:pos="360"/>
          <w:tab w:val="left" w:pos="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Providenciar descarga para o mictório dos banheiros masculino, e feminino; </w:t>
      </w:r>
    </w:p>
    <w:p w14:paraId="0CA656EF" w14:textId="77777777" w:rsidR="0031670A" w:rsidRDefault="00D44F0A">
      <w:pPr>
        <w:pStyle w:val="Corpodetexto21"/>
        <w:numPr>
          <w:ilvl w:val="0"/>
          <w:numId w:val="8"/>
        </w:numPr>
        <w:tabs>
          <w:tab w:val="clear" w:pos="360"/>
          <w:tab w:val="left" w:pos="0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Cuidar para que haja água suficiente nos sanitários, para que possa mantê-los sempre limpos.</w:t>
      </w:r>
    </w:p>
    <w:p w14:paraId="6461D3D5" w14:textId="500040AB" w:rsidR="0031670A" w:rsidRDefault="0031670A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34BDB311" w14:textId="7E740ACF" w:rsidR="00596F00" w:rsidRDefault="00596F00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44CF9771" w14:textId="483445BF" w:rsidR="00596F00" w:rsidRDefault="00596F00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18649E4F" w14:textId="77777777" w:rsidR="00596F00" w:rsidRDefault="00596F00">
      <w:pPr>
        <w:pStyle w:val="Corpodetexto21"/>
        <w:tabs>
          <w:tab w:val="left" w:pos="720"/>
        </w:tabs>
        <w:ind w:left="360"/>
        <w:jc w:val="both"/>
        <w:rPr>
          <w:b w:val="0"/>
          <w:color w:val="000000"/>
          <w:sz w:val="22"/>
          <w:szCs w:val="22"/>
        </w:rPr>
      </w:pPr>
    </w:p>
    <w:p w14:paraId="6F6A4F77" w14:textId="77777777" w:rsidR="00516BBD" w:rsidRDefault="00516BBD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18087763" w14:textId="7BFB3698" w:rsidR="0031670A" w:rsidRDefault="00D44F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PARA A ÁREA DE ALIMENTAÇÃO:</w:t>
      </w:r>
    </w:p>
    <w:p w14:paraId="17D8BEC0" w14:textId="77777777" w:rsidR="0031670A" w:rsidRDefault="0031670A">
      <w:pPr>
        <w:pStyle w:val="Corpodetexto21"/>
        <w:tabs>
          <w:tab w:val="left" w:pos="720"/>
        </w:tabs>
        <w:jc w:val="center"/>
        <w:rPr>
          <w:color w:val="000000"/>
          <w:sz w:val="22"/>
          <w:szCs w:val="22"/>
          <w:u w:val="single"/>
        </w:rPr>
      </w:pPr>
    </w:p>
    <w:p w14:paraId="711A7E8C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Manipuladores de alimentos devem estar devidamente uniformizados</w:t>
      </w:r>
      <w:r>
        <w:rPr>
          <w:b w:val="0"/>
          <w:color w:val="000000"/>
          <w:sz w:val="22"/>
          <w:szCs w:val="22"/>
        </w:rPr>
        <w:t>:</w:t>
      </w:r>
    </w:p>
    <w:p w14:paraId="2075C6E9" w14:textId="77777777" w:rsidR="0031670A" w:rsidRDefault="00D44F0A">
      <w:pPr>
        <w:pStyle w:val="Corpodetexto21"/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 xml:space="preserve">      (Jaleco cor clara, gorro na cabeça, sapato fechado, unhas curtas – limpas e sem esmalte, sem adornos, relógio, anéis, brincos, pulseiras, etc.);</w:t>
      </w:r>
    </w:p>
    <w:p w14:paraId="615C8A78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 xml:space="preserve">Os equipamentos devem estar em perfeito estado de funcionamento e limpeza; </w:t>
      </w:r>
    </w:p>
    <w:p w14:paraId="363915C8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Colocar cestos de lixo com tampa e revestidos com saco plástico;</w:t>
      </w:r>
    </w:p>
    <w:p w14:paraId="47055A9E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Utilizar somente produtos e matéria-prima de procedência e registrados no órgão competente.</w:t>
      </w:r>
    </w:p>
    <w:p w14:paraId="33724BBF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 xml:space="preserve">Proceder ampla limpeza na cozinha (teto, parede, piso, fogão pia) antes do evento; </w:t>
      </w:r>
    </w:p>
    <w:p w14:paraId="42D0AAE3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Utilizar-se de gelo para consumo humano, adquirir apenas gelo mineral, não podendo ser gelo doméstico;</w:t>
      </w:r>
    </w:p>
    <w:p w14:paraId="5A38B1C3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Os manipuladores de alimentos devem estar com Carteira Sanitária atualizada;</w:t>
      </w:r>
    </w:p>
    <w:p w14:paraId="4C0863E0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Manter limpa a área externa para não atrair vetores;</w:t>
      </w:r>
    </w:p>
    <w:p w14:paraId="78EC60A3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Armazenar os produtos a serem vendidos em temperatura adequada e sempre tampados;</w:t>
      </w:r>
    </w:p>
    <w:p w14:paraId="1F444C5F" w14:textId="77777777" w:rsidR="0031670A" w:rsidRDefault="00D44F0A">
      <w:pPr>
        <w:pStyle w:val="Corpodetexto21"/>
        <w:numPr>
          <w:ilvl w:val="0"/>
          <w:numId w:val="9"/>
        </w:numPr>
        <w:tabs>
          <w:tab w:val="left" w:pos="720"/>
        </w:tabs>
        <w:ind w:left="357" w:hanging="357"/>
        <w:jc w:val="both"/>
        <w:rPr>
          <w:b w:val="0"/>
          <w:i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Ao contratar empresas de bufê exija o Alvará Sanitário do exercício.</w:t>
      </w:r>
    </w:p>
    <w:p w14:paraId="1A32956E" w14:textId="77777777" w:rsidR="0031670A" w:rsidRDefault="0031670A">
      <w:pPr>
        <w:pStyle w:val="Corpodetexto21"/>
        <w:tabs>
          <w:tab w:val="left" w:pos="720"/>
        </w:tabs>
        <w:ind w:left="357"/>
        <w:jc w:val="both"/>
        <w:rPr>
          <w:b w:val="0"/>
          <w:i/>
          <w:color w:val="000000"/>
          <w:sz w:val="22"/>
          <w:szCs w:val="22"/>
        </w:rPr>
      </w:pPr>
    </w:p>
    <w:p w14:paraId="6E417885" w14:textId="77777777" w:rsidR="00516BBD" w:rsidRDefault="00516BBD">
      <w:pPr>
        <w:pStyle w:val="Corpodetexto21"/>
        <w:tabs>
          <w:tab w:val="left" w:pos="720"/>
        </w:tabs>
        <w:jc w:val="center"/>
        <w:rPr>
          <w:rFonts w:eastAsia="Calibri"/>
          <w:sz w:val="22"/>
          <w:szCs w:val="22"/>
          <w:u w:val="single"/>
        </w:rPr>
      </w:pPr>
    </w:p>
    <w:p w14:paraId="219B6A4A" w14:textId="5C7777F2" w:rsidR="0031670A" w:rsidRDefault="00D44F0A">
      <w:pPr>
        <w:pStyle w:val="Corpodetexto21"/>
        <w:tabs>
          <w:tab w:val="left" w:pos="720"/>
        </w:tabs>
        <w:jc w:val="center"/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  <w:u w:val="single"/>
        </w:rPr>
        <w:t>CORPO DE BOMBEIROS MILITAR</w:t>
      </w:r>
    </w:p>
    <w:p w14:paraId="62495DBD" w14:textId="77777777" w:rsidR="0031670A" w:rsidRDefault="0031670A">
      <w:pPr>
        <w:pStyle w:val="Corpodetexto21"/>
        <w:tabs>
          <w:tab w:val="left" w:pos="720"/>
        </w:tabs>
        <w:jc w:val="center"/>
        <w:rPr>
          <w:b w:val="0"/>
          <w:i/>
          <w:sz w:val="22"/>
          <w:szCs w:val="22"/>
        </w:rPr>
      </w:pPr>
    </w:p>
    <w:p w14:paraId="339E1917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regularização junto ao CBMMT segue o amparo legal da lei 10402/2016, regulamentada pelo decreto 859/2017, que regem toda a atividade de segurança contra incêndio e pânico no estado de mato grosso. Através desse amparo legal, são editadas as Normas Técnicas do Corpo de Bombeiros (NTCB) que versam sobre os procedimentos, dimensionamentos e demais critérios para garantir a segurança mínima das edificações e locais de risco.</w:t>
      </w:r>
    </w:p>
    <w:p w14:paraId="533563BE" w14:textId="77777777" w:rsidR="0031670A" w:rsidRDefault="00D44F0A">
      <w:pPr>
        <w:pStyle w:val="PargrafodaLista"/>
        <w:widowControl/>
        <w:numPr>
          <w:ilvl w:val="0"/>
          <w:numId w:val="10"/>
        </w:numPr>
        <w:spacing w:after="0" w:line="240" w:lineRule="auto"/>
        <w:ind w:left="709" w:firstLine="0"/>
        <w:jc w:val="left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Isenções.</w:t>
      </w:r>
    </w:p>
    <w:p w14:paraId="42404870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São considerados isentos de apresentação de processo de segurança contra incêndio e pânico e de vistoria técnica os eventos que forem classificados como “evento de risco mínimo”, conforme classificação da Norma Técnica do Corpo de Bombeiros 06 (NTCB 06 – Eventos temporários) conforme o item 5.1 da norma:</w:t>
      </w:r>
    </w:p>
    <w:p w14:paraId="3727D76A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“5.1 Eventos de Risco Mínimo</w:t>
      </w:r>
    </w:p>
    <w:p w14:paraId="0E7FD879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5.1.1 Eventos com público até 1.000 pessoas, que atendam os seguintes requisitos:</w:t>
      </w:r>
    </w:p>
    <w:p w14:paraId="59A06110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a) seja realizado em locais não edificados abertos, sem delimitação por barreiras que impeçam o trânsito livre de pessoas;</w:t>
      </w:r>
    </w:p>
    <w:p w14:paraId="78B88B1C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b) não haja utilização de trios elétricos e/ou similares;</w:t>
      </w:r>
    </w:p>
    <w:p w14:paraId="5ABDAB61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c) não haja previsão de público sobre estruturas provisórias como arquibancadas, camarotes e similares, sendo admitida a montagem de estruturas temporárias como palco e similares, estes para uso específico da coordenação do evento e apresentações artísticas e culturais, devendo ser mantido no local a ART ou RRT das estruturas a serem montadas;</w:t>
      </w:r>
    </w:p>
    <w:p w14:paraId="39648BF8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d) Não haja espetáculo pirotécnico ou utilização de brinquedos mecânicos;</w:t>
      </w:r>
    </w:p>
    <w:p w14:paraId="615A79DD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e) Não haja montagem de tendas com área total superior a 100 m². Devendo manter no local em qualquer caso a ART ou RRT;</w:t>
      </w:r>
    </w:p>
    <w:p w14:paraId="67020C24" w14:textId="085607F3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f) Não haja prática de atividades radicais que impliquem em risco para os espectadores, tais como rodeio, competição/exibição automobilística, motociclística, de aeronaves ou similares.”.</w:t>
      </w:r>
    </w:p>
    <w:p w14:paraId="5498C0C1" w14:textId="77777777" w:rsidR="0031670A" w:rsidRDefault="00D44F0A">
      <w:pPr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Mesmo sem necessidade de apresentação de documentação junto ao CBMMT, os organizadores de eventos que se classificarem como “risco mínimo” deverão adotar os seguintes procedimentos, previstos no item 16.1:</w:t>
      </w:r>
    </w:p>
    <w:p w14:paraId="032799BD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“16.1 Evento de risco mínimo”:</w:t>
      </w:r>
    </w:p>
    <w:p w14:paraId="2141912C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16.1.1 para os eventos classificados como risco mínimo não haverá necessidade de apresentação de Projeto Técnico para Evento Temporário, todavia, o organizador do evento deverá garantir as condições de segurança e manter as características do evento.</w:t>
      </w:r>
    </w:p>
    <w:p w14:paraId="6B6B1096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16.1.2 O organizador do evento poderá protocolar a Declaração para eventos de risco mínimo (Anexo D) quando necessitar comprovar em outros órgãos a situação de isenção prevista no item anterior.</w:t>
      </w:r>
    </w:p>
    <w:p w14:paraId="056845E7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16.1.2.1 Atendendo todos os requisitos para a classificação em evento de risco mínimo, o Órgão de Serviços Técnicos </w:t>
      </w:r>
      <w:r>
        <w:rPr>
          <w:rFonts w:ascii="Times New Roman" w:hAnsi="Times New Roman" w:cs="Times New Roman"/>
          <w:i/>
          <w:sz w:val="22"/>
          <w:szCs w:val="22"/>
        </w:rPr>
        <w:lastRenderedPageBreak/>
        <w:t>emitirá uma Informação Técnica, conforme o Anexo E, sendo facultada ao chefe do referido órgão, a realização de vistoria técnica para comprovação das informações declaradas.</w:t>
      </w:r>
    </w:p>
    <w:p w14:paraId="0C4E68B1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16.1.3 quando houver montagem de palco ou estrutura similar destinada à apresentação artístico-cultural e sonorização, dentre outros, o organizador do evento deverá manter no local do evento a respectiva ART ou RRT.</w:t>
      </w:r>
    </w:p>
    <w:p w14:paraId="37130380" w14:textId="77777777" w:rsidR="0031670A" w:rsidRDefault="00D44F0A">
      <w:pPr>
        <w:spacing w:after="0" w:line="240" w:lineRule="auto"/>
        <w:ind w:firstLine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16.1.4 as barracas utilizadas em eventos de risco mínimo deverão ser protegidas por extintores com agente adequado à classe de fogo.</w:t>
      </w:r>
    </w:p>
    <w:p w14:paraId="6F7A1DFD" w14:textId="77777777" w:rsidR="0031670A" w:rsidRDefault="00D44F0A">
      <w:pPr>
        <w:pStyle w:val="PargrafodaLista"/>
        <w:widowControl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Apresentação de PTET</w:t>
      </w:r>
    </w:p>
    <w:p w14:paraId="3ADD609B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Corpo de bombeiro classifica os projetos a serem apresentados em duas categorias: o PTEC – Projeto Técnico – Referente as edificações e locais de risco permanentes; e o PTET – Projeto Técnico de Eventos Temporários – referentes as edificações temporárias, sendo este último o necessário quando da realização de festas e eventos diversos.</w:t>
      </w:r>
    </w:p>
    <w:p w14:paraId="59CFF126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PTET deve ser apresentado com 06 (seis) dias úteis de antecedência a realização do evento. Tal prazo é exemplificado na tabela 5 e 6 do anexo A desta norma, conforme segue:</w:t>
      </w:r>
    </w:p>
    <w:p w14:paraId="19632CA7" w14:textId="77777777" w:rsidR="0031670A" w:rsidRDefault="003167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58367352" w14:textId="77777777" w:rsidR="004755F4" w:rsidRDefault="004755F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2258864" w14:textId="77777777" w:rsidR="004755F4" w:rsidRDefault="004755F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0D1B32" w14:textId="77777777" w:rsidR="004755F4" w:rsidRDefault="004755F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CB4C116" w14:textId="24EE4656" w:rsidR="0031670A" w:rsidRDefault="00D44F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TABELA 5</w:t>
      </w:r>
    </w:p>
    <w:p w14:paraId="0D60283C" w14:textId="77777777" w:rsidR="0031670A" w:rsidRDefault="00D44F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EXEMPLO DO PRAZO PARA PROTOCOLAR O PTET QUE OCORRERÁ EM DIA ÚTIL</w:t>
      </w: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0"/>
        <w:gridCol w:w="3685"/>
        <w:gridCol w:w="3273"/>
      </w:tblGrid>
      <w:tr w:rsidR="0031670A" w14:paraId="02066FEE" w14:textId="77777777">
        <w:trPr>
          <w:trHeight w:val="340"/>
          <w:jc w:val="center"/>
        </w:trPr>
        <w:tc>
          <w:tcPr>
            <w:tcW w:w="10678" w:type="dxa"/>
            <w:gridSpan w:val="3"/>
            <w:shd w:val="clear" w:color="auto" w:fill="D9D9D9"/>
            <w:vAlign w:val="center"/>
          </w:tcPr>
          <w:p w14:paraId="3CF444F6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EVENTO A SER REALIZADO EM DIA ÚTIL</w:t>
            </w:r>
          </w:p>
        </w:tc>
      </w:tr>
      <w:tr w:rsidR="0031670A" w14:paraId="56A9949C" w14:textId="77777777">
        <w:trPr>
          <w:trHeight w:val="340"/>
          <w:jc w:val="center"/>
        </w:trPr>
        <w:tc>
          <w:tcPr>
            <w:tcW w:w="3720" w:type="dxa"/>
            <w:shd w:val="clear" w:color="auto" w:fill="D9D9D9"/>
            <w:vAlign w:val="center"/>
          </w:tcPr>
          <w:p w14:paraId="4C00B9C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Dia do evento</w:t>
            </w:r>
          </w:p>
          <w:p w14:paraId="52E3E99A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(Considerando qualquer horário do dia)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C858F6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Prazo para protocolo do Processo Técnico do Evento no CBMMT para análise*</w:t>
            </w:r>
          </w:p>
        </w:tc>
        <w:tc>
          <w:tcPr>
            <w:tcW w:w="3273" w:type="dxa"/>
            <w:shd w:val="clear" w:color="auto" w:fill="D9D9D9"/>
            <w:vAlign w:val="center"/>
          </w:tcPr>
          <w:p w14:paraId="7ADBA082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Prazo para protocolo da Resposta Circunstanciada*</w:t>
            </w:r>
          </w:p>
        </w:tc>
      </w:tr>
      <w:tr w:rsidR="0031670A" w14:paraId="37E8E6ED" w14:textId="77777777">
        <w:trPr>
          <w:trHeight w:val="340"/>
          <w:jc w:val="center"/>
        </w:trPr>
        <w:tc>
          <w:tcPr>
            <w:tcW w:w="3720" w:type="dxa"/>
            <w:shd w:val="clear" w:color="auto" w:fill="auto"/>
            <w:vAlign w:val="center"/>
          </w:tcPr>
          <w:p w14:paraId="42B7086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2CA2832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 da semana anterior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2074B24D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semana anterior ao evento</w:t>
            </w:r>
          </w:p>
        </w:tc>
      </w:tr>
      <w:tr w:rsidR="0031670A" w14:paraId="3099B31F" w14:textId="77777777">
        <w:trPr>
          <w:trHeight w:val="340"/>
          <w:jc w:val="center"/>
        </w:trPr>
        <w:tc>
          <w:tcPr>
            <w:tcW w:w="3720" w:type="dxa"/>
            <w:shd w:val="clear" w:color="auto" w:fill="auto"/>
            <w:vAlign w:val="center"/>
          </w:tcPr>
          <w:p w14:paraId="7CEFF05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E4C03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 da semana anterior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1AF63F0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 da semana do evento</w:t>
            </w:r>
          </w:p>
        </w:tc>
      </w:tr>
      <w:tr w:rsidR="0031670A" w14:paraId="2070B577" w14:textId="77777777">
        <w:trPr>
          <w:trHeight w:val="340"/>
          <w:jc w:val="center"/>
        </w:trPr>
        <w:tc>
          <w:tcPr>
            <w:tcW w:w="3720" w:type="dxa"/>
            <w:shd w:val="clear" w:color="auto" w:fill="auto"/>
            <w:vAlign w:val="center"/>
          </w:tcPr>
          <w:p w14:paraId="13798A4D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8BB5DE0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 da semana anterior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70D332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 da semana do evento</w:t>
            </w:r>
          </w:p>
        </w:tc>
      </w:tr>
      <w:tr w:rsidR="0031670A" w14:paraId="15B8073C" w14:textId="77777777">
        <w:trPr>
          <w:trHeight w:val="340"/>
          <w:jc w:val="center"/>
        </w:trPr>
        <w:tc>
          <w:tcPr>
            <w:tcW w:w="3720" w:type="dxa"/>
            <w:shd w:val="clear" w:color="auto" w:fill="auto"/>
            <w:vAlign w:val="center"/>
          </w:tcPr>
          <w:p w14:paraId="1EEE5C9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62D5D6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anterior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FB24970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 da semana do evento</w:t>
            </w:r>
          </w:p>
        </w:tc>
      </w:tr>
      <w:tr w:rsidR="0031670A" w14:paraId="27294CE1" w14:textId="77777777">
        <w:trPr>
          <w:trHeight w:val="340"/>
          <w:jc w:val="center"/>
        </w:trPr>
        <w:tc>
          <w:tcPr>
            <w:tcW w:w="3720" w:type="dxa"/>
            <w:shd w:val="clear" w:color="auto" w:fill="auto"/>
            <w:vAlign w:val="center"/>
          </w:tcPr>
          <w:p w14:paraId="4FFA4F74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C6F9FE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semana anterior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C7171D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do evento</w:t>
            </w:r>
          </w:p>
        </w:tc>
      </w:tr>
      <w:tr w:rsidR="0031670A" w14:paraId="7959F2C5" w14:textId="77777777">
        <w:trPr>
          <w:trHeight w:val="731"/>
          <w:jc w:val="center"/>
        </w:trPr>
        <w:tc>
          <w:tcPr>
            <w:tcW w:w="10678" w:type="dxa"/>
            <w:gridSpan w:val="3"/>
            <w:shd w:val="clear" w:color="auto" w:fill="auto"/>
            <w:vAlign w:val="center"/>
          </w:tcPr>
          <w:p w14:paraId="76770C4E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* Considerar o prazo até o final do expediente do dia informado</w:t>
            </w:r>
          </w:p>
          <w:p w14:paraId="502011DC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** Considera-se o Domingo como o 1º dia da semana.</w:t>
            </w:r>
          </w:p>
        </w:tc>
      </w:tr>
    </w:tbl>
    <w:p w14:paraId="050E5CA1" w14:textId="77777777" w:rsidR="0031670A" w:rsidRDefault="00D44F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TABELA 6</w:t>
      </w:r>
    </w:p>
    <w:p w14:paraId="13042CB6" w14:textId="77777777" w:rsidR="0031670A" w:rsidRDefault="00D44F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EXEMPLO DO PRAZO PARA PROTOCOLAR O PTET QUE OCORRERÁ EM DIA NÃO ÚTIL</w:t>
      </w:r>
    </w:p>
    <w:tbl>
      <w:tblPr>
        <w:tblW w:w="10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3236"/>
        <w:gridCol w:w="3926"/>
      </w:tblGrid>
      <w:tr w:rsidR="0031670A" w14:paraId="3EFCD2E8" w14:textId="77777777">
        <w:trPr>
          <w:trHeight w:val="340"/>
          <w:jc w:val="center"/>
        </w:trPr>
        <w:tc>
          <w:tcPr>
            <w:tcW w:w="10712" w:type="dxa"/>
            <w:gridSpan w:val="3"/>
            <w:shd w:val="clear" w:color="auto" w:fill="D9D9D9"/>
            <w:vAlign w:val="center"/>
          </w:tcPr>
          <w:p w14:paraId="2233F9A4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EVENTO A SER REALIZADO EM FERIADO OU FINAL DE SEMANA</w:t>
            </w:r>
          </w:p>
        </w:tc>
      </w:tr>
      <w:tr w:rsidR="0031670A" w14:paraId="68CA0C6E" w14:textId="77777777">
        <w:trPr>
          <w:trHeight w:val="340"/>
          <w:jc w:val="center"/>
        </w:trPr>
        <w:tc>
          <w:tcPr>
            <w:tcW w:w="3550" w:type="dxa"/>
            <w:shd w:val="clear" w:color="auto" w:fill="D9D9D9"/>
            <w:vAlign w:val="center"/>
          </w:tcPr>
          <w:p w14:paraId="0433EF51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Dia do evento</w:t>
            </w:r>
          </w:p>
          <w:p w14:paraId="5770B284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(Considerando qualquer horário do dia)</w:t>
            </w:r>
          </w:p>
        </w:tc>
        <w:tc>
          <w:tcPr>
            <w:tcW w:w="3236" w:type="dxa"/>
            <w:shd w:val="clear" w:color="auto" w:fill="D9D9D9"/>
            <w:vAlign w:val="center"/>
          </w:tcPr>
          <w:p w14:paraId="197D65B8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Prazo para protocolo do Processo Técnico do Evento no CBMMT para análise*</w:t>
            </w:r>
          </w:p>
        </w:tc>
        <w:tc>
          <w:tcPr>
            <w:tcW w:w="3926" w:type="dxa"/>
            <w:shd w:val="clear" w:color="auto" w:fill="D9D9D9"/>
            <w:vAlign w:val="center"/>
          </w:tcPr>
          <w:p w14:paraId="7AB40FA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Prazo para protocolo da Resposta Circunstanciada*</w:t>
            </w:r>
          </w:p>
        </w:tc>
      </w:tr>
      <w:tr w:rsidR="0031670A" w14:paraId="787364B6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2A4BB4CC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3563D1F9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2ª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17B0B75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anterior ao evento</w:t>
            </w:r>
          </w:p>
        </w:tc>
      </w:tr>
      <w:tr w:rsidR="0031670A" w14:paraId="124054E9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7DEB98D1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252901F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 da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446FDB64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semana anterior ao evento</w:t>
            </w:r>
          </w:p>
        </w:tc>
      </w:tr>
      <w:tr w:rsidR="0031670A" w14:paraId="1424A4BC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4906305B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D79F85D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 da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B39D171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Segunda-feira da semana do evento</w:t>
            </w:r>
          </w:p>
        </w:tc>
      </w:tr>
      <w:tr w:rsidR="0031670A" w14:paraId="781AE256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5CD07B1D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50FF7ED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 da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10A72A9F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Terça-feira da semana do evento</w:t>
            </w:r>
          </w:p>
        </w:tc>
      </w:tr>
      <w:tr w:rsidR="0031670A" w14:paraId="0E0A6302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3A69EF82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D162838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2611A59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Quarta-feira da semana do evento</w:t>
            </w:r>
          </w:p>
        </w:tc>
      </w:tr>
      <w:tr w:rsidR="0031670A" w14:paraId="46894237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3F84EC5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Sábado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96B8A50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5DA60E8E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do evento</w:t>
            </w:r>
          </w:p>
        </w:tc>
      </w:tr>
      <w:tr w:rsidR="0031670A" w14:paraId="02408ED3" w14:textId="77777777">
        <w:trPr>
          <w:trHeight w:val="340"/>
          <w:jc w:val="center"/>
        </w:trPr>
        <w:tc>
          <w:tcPr>
            <w:tcW w:w="3550" w:type="dxa"/>
            <w:shd w:val="clear" w:color="auto" w:fill="auto"/>
            <w:vAlign w:val="center"/>
          </w:tcPr>
          <w:p w14:paraId="1ABE0FA6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Domingo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86B1AB7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Sexta-feira da 2ª semana anterior</w:t>
            </w:r>
          </w:p>
        </w:tc>
        <w:tc>
          <w:tcPr>
            <w:tcW w:w="3926" w:type="dxa"/>
            <w:shd w:val="clear" w:color="auto" w:fill="auto"/>
            <w:vAlign w:val="center"/>
          </w:tcPr>
          <w:p w14:paraId="0FEC95EE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Quinta-feira da semana anterior ao evento</w:t>
            </w:r>
          </w:p>
        </w:tc>
      </w:tr>
      <w:tr w:rsidR="0031670A" w14:paraId="5F9DB845" w14:textId="77777777">
        <w:trPr>
          <w:trHeight w:val="340"/>
          <w:jc w:val="center"/>
        </w:trPr>
        <w:tc>
          <w:tcPr>
            <w:tcW w:w="10712" w:type="dxa"/>
            <w:gridSpan w:val="3"/>
            <w:shd w:val="clear" w:color="auto" w:fill="auto"/>
            <w:vAlign w:val="center"/>
          </w:tcPr>
          <w:p w14:paraId="01B3F372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* Considerar o prazo até o final do expediente do dia informado</w:t>
            </w:r>
          </w:p>
          <w:p w14:paraId="6F8F1822" w14:textId="77777777" w:rsidR="0031670A" w:rsidRDefault="00D44F0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** Considera-se o Domingo como o 1º dia da semana.</w:t>
            </w:r>
          </w:p>
        </w:tc>
      </w:tr>
    </w:tbl>
    <w:p w14:paraId="40B3253B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Obedecidos aos prazos, o profissional responsável pela elaboração do PTET deve atentar para a apresentação do processo, composto pela documentação e as pranchas de desenho, de acordo com os parâmetros descritos na NTCB 01, sintetizados na seguinte tabela:</w:t>
      </w:r>
    </w:p>
    <w:p w14:paraId="33A80D12" w14:textId="77777777" w:rsidR="0031670A" w:rsidRDefault="003167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</w:p>
    <w:p w14:paraId="510A2DB3" w14:textId="77777777" w:rsidR="0031670A" w:rsidRDefault="00D44F0A">
      <w:pPr>
        <w:pStyle w:val="PargrafodaLista"/>
        <w:widowControl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Documentação exigida:</w:t>
      </w:r>
    </w:p>
    <w:tbl>
      <w:tblPr>
        <w:tblStyle w:val="Tabelacomgrade"/>
        <w:tblW w:w="5000" w:type="pct"/>
        <w:jc w:val="right"/>
        <w:tblLook w:val="04A0" w:firstRow="1" w:lastRow="0" w:firstColumn="1" w:lastColumn="0" w:noHBand="0" w:noVBand="1"/>
      </w:tblPr>
      <w:tblGrid>
        <w:gridCol w:w="1934"/>
        <w:gridCol w:w="5941"/>
        <w:gridCol w:w="2581"/>
      </w:tblGrid>
      <w:tr w:rsidR="0031670A" w14:paraId="31B7214A" w14:textId="77777777">
        <w:trPr>
          <w:jc w:val="right"/>
        </w:trPr>
        <w:tc>
          <w:tcPr>
            <w:tcW w:w="925" w:type="pct"/>
            <w:shd w:val="clear" w:color="auto" w:fill="D9D9D9" w:themeFill="background1" w:themeFillShade="D9"/>
          </w:tcPr>
          <w:p w14:paraId="0E8814C8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2841" w:type="pct"/>
            <w:shd w:val="clear" w:color="auto" w:fill="D9D9D9" w:themeFill="background1" w:themeFillShade="D9"/>
          </w:tcPr>
          <w:p w14:paraId="1591ED96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OBSERVAÇÃO</w:t>
            </w:r>
          </w:p>
        </w:tc>
        <w:tc>
          <w:tcPr>
            <w:tcW w:w="1234" w:type="pct"/>
            <w:shd w:val="clear" w:color="auto" w:fill="D9D9D9" w:themeFill="background1" w:themeFillShade="D9"/>
          </w:tcPr>
          <w:p w14:paraId="1A545E6C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PREVISÃO NORMATIVA</w:t>
            </w:r>
          </w:p>
        </w:tc>
      </w:tr>
      <w:tr w:rsidR="0031670A" w14:paraId="32EE66CF" w14:textId="77777777">
        <w:trPr>
          <w:jc w:val="right"/>
        </w:trPr>
        <w:tc>
          <w:tcPr>
            <w:tcW w:w="925" w:type="pct"/>
          </w:tcPr>
          <w:p w14:paraId="5984D55E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Requerimento padrão (anexo B – NTCB 01)</w:t>
            </w:r>
          </w:p>
        </w:tc>
        <w:tc>
          <w:tcPr>
            <w:tcW w:w="2841" w:type="pct"/>
          </w:tcPr>
          <w:p w14:paraId="57FA6DE9" w14:textId="77777777" w:rsidR="0031670A" w:rsidRDefault="00D44F0A">
            <w:pPr>
              <w:pStyle w:val="PargrafodaLista"/>
              <w:widowControl/>
              <w:numPr>
                <w:ilvl w:val="0"/>
                <w:numId w:val="12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Documento padrão que descreve a edificação e o serviço solicitado</w:t>
            </w:r>
          </w:p>
          <w:p w14:paraId="3D5759AA" w14:textId="77777777" w:rsidR="0031670A" w:rsidRDefault="00D44F0A">
            <w:pPr>
              <w:pStyle w:val="PargrafodaLista"/>
              <w:widowControl/>
              <w:numPr>
                <w:ilvl w:val="0"/>
                <w:numId w:val="12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Signatário deve ser o responsável pelo local ou terceiros via procuração</w:t>
            </w:r>
          </w:p>
        </w:tc>
        <w:tc>
          <w:tcPr>
            <w:tcW w:w="1234" w:type="pct"/>
          </w:tcPr>
          <w:p w14:paraId="5B179650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Anexo B da NTCB 01 (MODELO)</w:t>
            </w:r>
          </w:p>
        </w:tc>
      </w:tr>
      <w:tr w:rsidR="0031670A" w14:paraId="0199A17B" w14:textId="77777777">
        <w:trPr>
          <w:jc w:val="right"/>
        </w:trPr>
        <w:tc>
          <w:tcPr>
            <w:tcW w:w="925" w:type="pct"/>
          </w:tcPr>
          <w:p w14:paraId="7EEAF4AD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Alvará da edificação</w:t>
            </w:r>
          </w:p>
        </w:tc>
        <w:tc>
          <w:tcPr>
            <w:tcW w:w="2841" w:type="pct"/>
          </w:tcPr>
          <w:p w14:paraId="16B99D1E" w14:textId="77777777" w:rsidR="0031670A" w:rsidRDefault="00D44F0A">
            <w:pPr>
              <w:pStyle w:val="PargrafodaLista"/>
              <w:widowControl/>
              <w:numPr>
                <w:ilvl w:val="0"/>
                <w:numId w:val="12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Quando o evento temporário utilizar a área de uma edificação, a mesma deve estar com alvará vigente para a realização do evento anexo a ela</w:t>
            </w:r>
          </w:p>
        </w:tc>
        <w:tc>
          <w:tcPr>
            <w:tcW w:w="1234" w:type="pct"/>
          </w:tcPr>
          <w:p w14:paraId="69CD3C92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Tabela 3 do anexo A da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bn</w:t>
            </w:r>
            <w:proofErr w:type="spellEnd"/>
          </w:p>
        </w:tc>
      </w:tr>
      <w:tr w:rsidR="0031670A" w14:paraId="19FBBA47" w14:textId="77777777">
        <w:trPr>
          <w:jc w:val="right"/>
        </w:trPr>
        <w:tc>
          <w:tcPr>
            <w:tcW w:w="925" w:type="pct"/>
          </w:tcPr>
          <w:p w14:paraId="7DD4A97F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Taxa e comprovante de pagamento</w:t>
            </w:r>
          </w:p>
        </w:tc>
        <w:tc>
          <w:tcPr>
            <w:tcW w:w="2841" w:type="pct"/>
          </w:tcPr>
          <w:p w14:paraId="627767B8" w14:textId="77777777" w:rsidR="0031670A" w:rsidRDefault="00D44F0A">
            <w:pPr>
              <w:pStyle w:val="PargrafodaLista"/>
              <w:widowControl/>
              <w:numPr>
                <w:ilvl w:val="0"/>
                <w:numId w:val="13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Cada serviço tem uma taxa. Atentar para retirar a taxa corretamente; ou</w:t>
            </w:r>
          </w:p>
          <w:p w14:paraId="19D2E985" w14:textId="77777777" w:rsidR="0031670A" w:rsidRDefault="00D44F0A">
            <w:pPr>
              <w:pStyle w:val="PargrafodaLista"/>
              <w:widowControl/>
              <w:numPr>
                <w:ilvl w:val="0"/>
                <w:numId w:val="13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Documento de isenção válido</w:t>
            </w:r>
          </w:p>
        </w:tc>
        <w:tc>
          <w:tcPr>
            <w:tcW w:w="1234" w:type="pct"/>
          </w:tcPr>
          <w:p w14:paraId="4B554777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Tabela 3 do anexo A da NTCB 01;</w:t>
            </w:r>
          </w:p>
          <w:p w14:paraId="21A38A42" w14:textId="77777777" w:rsidR="0031670A" w:rsidRDefault="00D44F0A">
            <w:pPr>
              <w:widowControl/>
              <w:spacing w:after="0" w:line="240" w:lineRule="auto"/>
              <w:ind w:left="37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7.1.5.2.2.B) da NTCB 01</w:t>
            </w:r>
          </w:p>
        </w:tc>
      </w:tr>
      <w:tr w:rsidR="0031670A" w14:paraId="2FDDA389" w14:textId="77777777">
        <w:trPr>
          <w:jc w:val="right"/>
        </w:trPr>
        <w:tc>
          <w:tcPr>
            <w:tcW w:w="925" w:type="pct"/>
          </w:tcPr>
          <w:p w14:paraId="69260763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ART/RRT elaboração e execução do PSCIP</w:t>
            </w:r>
          </w:p>
        </w:tc>
        <w:tc>
          <w:tcPr>
            <w:tcW w:w="2841" w:type="pct"/>
          </w:tcPr>
          <w:p w14:paraId="72F659BF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 características da composição da ART/RRT no item 7.1.5.2.6 da NTCB 01</w:t>
            </w:r>
          </w:p>
        </w:tc>
        <w:tc>
          <w:tcPr>
            <w:tcW w:w="1234" w:type="pct"/>
          </w:tcPr>
          <w:p w14:paraId="6FDDED18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Tabela 3 do anexo A da NTCB 01</w:t>
            </w:r>
          </w:p>
        </w:tc>
      </w:tr>
      <w:tr w:rsidR="0031670A" w14:paraId="7233BDD1" w14:textId="77777777">
        <w:trPr>
          <w:jc w:val="right"/>
        </w:trPr>
        <w:tc>
          <w:tcPr>
            <w:tcW w:w="925" w:type="pct"/>
          </w:tcPr>
          <w:p w14:paraId="64D7954F" w14:textId="77777777" w:rsidR="0031670A" w:rsidRDefault="00D44F0A">
            <w:pPr>
              <w:pStyle w:val="PargrafodaLista"/>
              <w:widowControl/>
              <w:numPr>
                <w:ilvl w:val="0"/>
                <w:numId w:val="14"/>
              </w:numPr>
              <w:spacing w:after="0" w:line="240" w:lineRule="auto"/>
              <w:ind w:left="2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ART/RRT das estruturas</w:t>
            </w:r>
          </w:p>
          <w:p w14:paraId="3D87F009" w14:textId="77777777" w:rsidR="0031670A" w:rsidRDefault="00D44F0A">
            <w:pPr>
              <w:pStyle w:val="PargrafodaLista"/>
              <w:widowControl/>
              <w:numPr>
                <w:ilvl w:val="0"/>
                <w:numId w:val="14"/>
              </w:numPr>
              <w:spacing w:after="0" w:line="240" w:lineRule="auto"/>
              <w:ind w:left="2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Outras ART/RRT</w:t>
            </w:r>
          </w:p>
        </w:tc>
        <w:tc>
          <w:tcPr>
            <w:tcW w:w="2841" w:type="pct"/>
          </w:tcPr>
          <w:p w14:paraId="2310582C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Deve constar em ART/RRT todas as estruturas previstas no evento;</w:t>
            </w:r>
          </w:p>
          <w:p w14:paraId="45134DBA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Devem constar em ART alguns itens, como CMAR, Aterramento das estruturas, Capacidade de público e laudo técnico</w:t>
            </w:r>
          </w:p>
        </w:tc>
        <w:tc>
          <w:tcPr>
            <w:tcW w:w="1234" w:type="pct"/>
          </w:tcPr>
          <w:p w14:paraId="1099A5D3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7.1.6 da NTCB 06;</w:t>
            </w:r>
          </w:p>
          <w:p w14:paraId="717B4D8A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7.1.7 da NTCB 06;</w:t>
            </w:r>
          </w:p>
          <w:p w14:paraId="225AA8B0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7.1.8 da NTCB 06;</w:t>
            </w:r>
          </w:p>
          <w:p w14:paraId="0B061DAA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10.5 da NTCB 06;</w:t>
            </w:r>
          </w:p>
          <w:p w14:paraId="04ACBF4E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17.5 da NTCB 06;</w:t>
            </w:r>
          </w:p>
        </w:tc>
      </w:tr>
      <w:tr w:rsidR="0031670A" w14:paraId="34BF2E2A" w14:textId="77777777">
        <w:trPr>
          <w:jc w:val="right"/>
        </w:trPr>
        <w:tc>
          <w:tcPr>
            <w:tcW w:w="925" w:type="pct"/>
          </w:tcPr>
          <w:p w14:paraId="4605FAC1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Brigada de incêndio</w:t>
            </w:r>
          </w:p>
        </w:tc>
        <w:tc>
          <w:tcPr>
            <w:tcW w:w="2841" w:type="pct"/>
          </w:tcPr>
          <w:p w14:paraId="6E719374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Deve constar toda documentação da brigada, incluindo Relação nominal, Contrato de prestação de serviço e certificados individuais da equipe emitidos por empresa credenciada.</w:t>
            </w:r>
          </w:p>
        </w:tc>
        <w:tc>
          <w:tcPr>
            <w:tcW w:w="1234" w:type="pct"/>
          </w:tcPr>
          <w:p w14:paraId="1632C513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14 da NTCB 06</w:t>
            </w:r>
          </w:p>
        </w:tc>
      </w:tr>
      <w:tr w:rsidR="0031670A" w14:paraId="7E45EED8" w14:textId="77777777">
        <w:trPr>
          <w:jc w:val="right"/>
        </w:trPr>
        <w:tc>
          <w:tcPr>
            <w:tcW w:w="925" w:type="pct"/>
          </w:tcPr>
          <w:p w14:paraId="255AC6F1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Ambulância</w:t>
            </w:r>
          </w:p>
        </w:tc>
        <w:tc>
          <w:tcPr>
            <w:tcW w:w="2841" w:type="pct"/>
          </w:tcPr>
          <w:p w14:paraId="268EE28B" w14:textId="77777777" w:rsidR="0031670A" w:rsidRDefault="00D44F0A">
            <w:pPr>
              <w:pStyle w:val="PargrafodaLista"/>
              <w:widowControl/>
              <w:numPr>
                <w:ilvl w:val="0"/>
                <w:numId w:val="15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Exigida sempre que o evento tiver previsão de público a partir de 2000 pessoas, ou que tenham atividades de risco.</w:t>
            </w:r>
          </w:p>
          <w:p w14:paraId="5295C3EA" w14:textId="77777777" w:rsidR="0031670A" w:rsidRDefault="00D44F0A">
            <w:pPr>
              <w:pStyle w:val="PargrafodaLista"/>
              <w:widowControl/>
              <w:numPr>
                <w:ilvl w:val="0"/>
                <w:numId w:val="15"/>
              </w:numPr>
              <w:spacing w:after="0" w:line="240" w:lineRule="auto"/>
              <w:ind w:left="89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Quando público for maior que 10.000 pessoas, deve haver médico na equipe.</w:t>
            </w:r>
          </w:p>
        </w:tc>
        <w:tc>
          <w:tcPr>
            <w:tcW w:w="1234" w:type="pct"/>
          </w:tcPr>
          <w:p w14:paraId="5689C48B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16.2.2 da NTCB 06</w:t>
            </w:r>
          </w:p>
        </w:tc>
      </w:tr>
      <w:tr w:rsidR="0031670A" w14:paraId="1C65996D" w14:textId="77777777">
        <w:trPr>
          <w:trHeight w:val="670"/>
          <w:jc w:val="right"/>
        </w:trPr>
        <w:tc>
          <w:tcPr>
            <w:tcW w:w="925" w:type="pct"/>
          </w:tcPr>
          <w:p w14:paraId="5BE8D951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Fogos de artifício</w:t>
            </w:r>
          </w:p>
        </w:tc>
        <w:tc>
          <w:tcPr>
            <w:tcW w:w="2841" w:type="pct"/>
          </w:tcPr>
          <w:p w14:paraId="0EE5D437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Deve ser apresentado o contrato de prestação de serviço, Cópia do registro e carteirinha do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blaster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plano de segurança e layout do local de queima.</w:t>
            </w:r>
          </w:p>
        </w:tc>
        <w:tc>
          <w:tcPr>
            <w:tcW w:w="1234" w:type="pct"/>
          </w:tcPr>
          <w:p w14:paraId="220B0904" w14:textId="77777777" w:rsidR="0031670A" w:rsidRDefault="00D44F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7.1 da NTCB 29</w:t>
            </w:r>
          </w:p>
        </w:tc>
      </w:tr>
    </w:tbl>
    <w:p w14:paraId="00BB9C34" w14:textId="77777777" w:rsidR="0031670A" w:rsidRDefault="0031670A">
      <w:pPr>
        <w:pStyle w:val="PargrafodaLista"/>
        <w:widowControl/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14:paraId="386433CF" w14:textId="77777777" w:rsidR="0031670A" w:rsidRDefault="00D44F0A">
      <w:pPr>
        <w:pStyle w:val="PargrafodaLista"/>
        <w:widowControl/>
        <w:numPr>
          <w:ilvl w:val="0"/>
          <w:numId w:val="11"/>
        </w:numPr>
        <w:spacing w:after="0" w:line="240" w:lineRule="auto"/>
        <w:ind w:firstLine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Plantas exigidas:</w:t>
      </w:r>
    </w:p>
    <w:tbl>
      <w:tblPr>
        <w:tblStyle w:val="Tabelacomgrade"/>
        <w:tblW w:w="10519" w:type="dxa"/>
        <w:tblInd w:w="-34" w:type="dxa"/>
        <w:tblLook w:val="04A0" w:firstRow="1" w:lastRow="0" w:firstColumn="1" w:lastColumn="0" w:noHBand="0" w:noVBand="1"/>
      </w:tblPr>
      <w:tblGrid>
        <w:gridCol w:w="2694"/>
        <w:gridCol w:w="4253"/>
        <w:gridCol w:w="3572"/>
      </w:tblGrid>
      <w:tr w:rsidR="0031670A" w14:paraId="488B605E" w14:textId="77777777">
        <w:tc>
          <w:tcPr>
            <w:tcW w:w="10519" w:type="dxa"/>
            <w:gridSpan w:val="3"/>
            <w:shd w:val="clear" w:color="auto" w:fill="D9D9D9" w:themeFill="background1" w:themeFillShade="D9"/>
          </w:tcPr>
          <w:p w14:paraId="77245986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DESENHOS – PROJETO DE INCÊNDIO</w:t>
            </w:r>
          </w:p>
        </w:tc>
      </w:tr>
      <w:tr w:rsidR="0031670A" w14:paraId="0534D66C" w14:textId="77777777"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25FCC533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6D260134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OBSERVAÇÃO</w:t>
            </w:r>
          </w:p>
        </w:tc>
        <w:tc>
          <w:tcPr>
            <w:tcW w:w="3572" w:type="dxa"/>
            <w:shd w:val="clear" w:color="auto" w:fill="D9D9D9" w:themeFill="background1" w:themeFillShade="D9"/>
          </w:tcPr>
          <w:p w14:paraId="66091343" w14:textId="77777777" w:rsidR="0031670A" w:rsidRDefault="00D44F0A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PREVISÃO NORMATIVA</w:t>
            </w:r>
          </w:p>
        </w:tc>
      </w:tr>
      <w:tr w:rsidR="0031670A" w14:paraId="4D2BE29A" w14:textId="77777777">
        <w:tc>
          <w:tcPr>
            <w:tcW w:w="2694" w:type="dxa"/>
          </w:tcPr>
          <w:p w14:paraId="5712A1FC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Detalhamento dos desenhos</w:t>
            </w:r>
          </w:p>
        </w:tc>
        <w:tc>
          <w:tcPr>
            <w:tcW w:w="4253" w:type="dxa"/>
          </w:tcPr>
          <w:p w14:paraId="00DD1598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Elementos dos desenhos exigidos para todos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os projetos</w:t>
            </w:r>
          </w:p>
        </w:tc>
        <w:tc>
          <w:tcPr>
            <w:tcW w:w="3572" w:type="dxa"/>
          </w:tcPr>
          <w:p w14:paraId="3C9221EA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Ver todos as alíneas do item 7.1.5.2.9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da NTCB 01</w:t>
            </w:r>
          </w:p>
        </w:tc>
      </w:tr>
      <w:tr w:rsidR="0031670A" w14:paraId="33B5F10D" w14:textId="77777777">
        <w:tc>
          <w:tcPr>
            <w:tcW w:w="2694" w:type="dxa"/>
          </w:tcPr>
          <w:p w14:paraId="27A11606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Composição das pranchas</w:t>
            </w:r>
          </w:p>
        </w:tc>
        <w:tc>
          <w:tcPr>
            <w:tcW w:w="4253" w:type="dxa"/>
          </w:tcPr>
          <w:p w14:paraId="69D6A31E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Cada prancha de desenho deve ser ordenada sequencialmente, sendo que nelas deve constar itens específicos de acordo com o previsto em norma</w:t>
            </w:r>
          </w:p>
        </w:tc>
        <w:tc>
          <w:tcPr>
            <w:tcW w:w="3572" w:type="dxa"/>
          </w:tcPr>
          <w:p w14:paraId="6A3CA5EA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 alíneas do item 7.2.6 da NTCB 01</w:t>
            </w:r>
          </w:p>
        </w:tc>
      </w:tr>
      <w:tr w:rsidR="0031670A" w14:paraId="2EE8FBE4" w14:textId="77777777">
        <w:tc>
          <w:tcPr>
            <w:tcW w:w="2694" w:type="dxa"/>
          </w:tcPr>
          <w:p w14:paraId="65ED60E7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Plano de intervenção</w:t>
            </w:r>
          </w:p>
        </w:tc>
        <w:tc>
          <w:tcPr>
            <w:tcW w:w="4253" w:type="dxa"/>
          </w:tcPr>
          <w:p w14:paraId="5EAB6E4F" w14:textId="77777777" w:rsidR="0031670A" w:rsidRDefault="00D44F0A">
            <w:pPr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Para eventos com população superior a 1000 pessoas, deve ser apresentado plano de intervenção. Ele é composto basicamente pela tabela de dimensionamento e a planta de risco</w:t>
            </w:r>
          </w:p>
        </w:tc>
        <w:tc>
          <w:tcPr>
            <w:tcW w:w="3572" w:type="dxa"/>
          </w:tcPr>
          <w:p w14:paraId="71B3B838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Tabela F.4 do anexo A da NTCB 01</w:t>
            </w:r>
          </w:p>
          <w:p w14:paraId="16AF2F49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7 do anexo H da NTCB 01;</w:t>
            </w:r>
          </w:p>
          <w:p w14:paraId="59B5CF92" w14:textId="77777777" w:rsidR="0031670A" w:rsidRDefault="00D44F0A">
            <w:pPr>
              <w:widowControl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Item 5.1.1 da IT 16 do CBPMESP</w:t>
            </w:r>
          </w:p>
        </w:tc>
      </w:tr>
    </w:tbl>
    <w:p w14:paraId="3B142A3A" w14:textId="77777777" w:rsidR="0031670A" w:rsidRDefault="0031670A">
      <w:pPr>
        <w:pStyle w:val="PargrafodaLista"/>
        <w:widowControl/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0FA4C917" w14:textId="57341006" w:rsidR="0031670A" w:rsidRDefault="00D44F0A">
      <w:pPr>
        <w:pStyle w:val="PargrafodaLista"/>
        <w:widowControl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Solicitação e agendamento da vistoria técnica</w:t>
      </w:r>
    </w:p>
    <w:p w14:paraId="3FC33EEA" w14:textId="77777777" w:rsidR="0031670A" w:rsidRDefault="00D44F0A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Após aprovação do PTET, deve ser agendada a vistoria técnica para que sejam conferidas </w:t>
      </w:r>
      <w:r>
        <w:rPr>
          <w:rFonts w:ascii="Times New Roman" w:hAnsi="Times New Roman" w:cs="Times New Roman"/>
          <w:i/>
          <w:sz w:val="22"/>
          <w:szCs w:val="22"/>
        </w:rPr>
        <w:t xml:space="preserve">in loco </w:t>
      </w:r>
      <w:r>
        <w:rPr>
          <w:rFonts w:ascii="Times New Roman" w:hAnsi="Times New Roman" w:cs="Times New Roman"/>
          <w:sz w:val="22"/>
          <w:szCs w:val="22"/>
        </w:rPr>
        <w:t>as instalações previstas no projeto. Esta solicitação deve seguir o rito previsto na tabela 4 do anexo A da NTCB 01, conforme segue:</w:t>
      </w:r>
    </w:p>
    <w:p w14:paraId="40515C64" w14:textId="77777777" w:rsidR="0031670A" w:rsidRDefault="00D44F0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DOCUMENTOS QUE COMPÕE A SOLICITAÇÃO DE VISTORIA TÉCNICA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8374"/>
        <w:gridCol w:w="992"/>
      </w:tblGrid>
      <w:tr w:rsidR="0031670A" w14:paraId="35531320" w14:textId="77777777">
        <w:trPr>
          <w:trHeight w:val="283"/>
          <w:jc w:val="center"/>
        </w:trPr>
        <w:tc>
          <w:tcPr>
            <w:tcW w:w="1109" w:type="dxa"/>
            <w:shd w:val="clear" w:color="auto" w:fill="D9D9D9"/>
            <w:vAlign w:val="center"/>
          </w:tcPr>
          <w:p w14:paraId="0C5249D0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Ordem</w:t>
            </w:r>
          </w:p>
        </w:tc>
        <w:tc>
          <w:tcPr>
            <w:tcW w:w="8374" w:type="dxa"/>
            <w:shd w:val="clear" w:color="auto" w:fill="D9D9D9"/>
            <w:vAlign w:val="center"/>
          </w:tcPr>
          <w:p w14:paraId="4BE6701A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Documento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6267707B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Vistoria</w:t>
            </w:r>
          </w:p>
        </w:tc>
      </w:tr>
      <w:tr w:rsidR="0031670A" w14:paraId="1FD9C62B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4F117071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8374" w:type="dxa"/>
            <w:vAlign w:val="center"/>
          </w:tcPr>
          <w:p w14:paraId="6B137345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Requerimento padrão</w:t>
            </w:r>
          </w:p>
        </w:tc>
        <w:tc>
          <w:tcPr>
            <w:tcW w:w="992" w:type="dxa"/>
            <w:vAlign w:val="center"/>
          </w:tcPr>
          <w:p w14:paraId="6439FE33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31670A" w14:paraId="68F3ADC2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009418B8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374" w:type="dxa"/>
            <w:vAlign w:val="center"/>
          </w:tcPr>
          <w:p w14:paraId="4C850E0E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Boleto da TASEG</w:t>
            </w:r>
          </w:p>
        </w:tc>
        <w:tc>
          <w:tcPr>
            <w:tcW w:w="992" w:type="dxa"/>
            <w:vAlign w:val="center"/>
          </w:tcPr>
          <w:p w14:paraId="2779064E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31670A" w14:paraId="1932D626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675DD9FE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74" w:type="dxa"/>
            <w:vAlign w:val="center"/>
          </w:tcPr>
          <w:p w14:paraId="1680E268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Procuração do proprietário quando este transferir seu poder de signatário</w:t>
            </w:r>
          </w:p>
        </w:tc>
        <w:tc>
          <w:tcPr>
            <w:tcW w:w="992" w:type="dxa"/>
            <w:vAlign w:val="center"/>
          </w:tcPr>
          <w:p w14:paraId="697A704B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31670A" w14:paraId="52EBCAD3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4E4E2EAB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374" w:type="dxa"/>
            <w:vAlign w:val="center"/>
          </w:tcPr>
          <w:p w14:paraId="28613F2C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ART, RRT ou TRT do responsável técnico pela execução ou manutenção das medidas de segurança contra incêndio e pânico.</w:t>
            </w:r>
          </w:p>
        </w:tc>
        <w:tc>
          <w:tcPr>
            <w:tcW w:w="992" w:type="dxa"/>
            <w:vAlign w:val="center"/>
          </w:tcPr>
          <w:p w14:paraId="35C147C9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X¹</w:t>
            </w:r>
          </w:p>
        </w:tc>
      </w:tr>
      <w:tr w:rsidR="0031670A" w14:paraId="208AF6B3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3AD0F491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374" w:type="dxa"/>
            <w:vAlign w:val="center"/>
          </w:tcPr>
          <w:p w14:paraId="7D433870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Cópia do ASCIP ou APSCIP</w:t>
            </w:r>
          </w:p>
        </w:tc>
        <w:tc>
          <w:tcPr>
            <w:tcW w:w="992" w:type="dxa"/>
            <w:vAlign w:val="center"/>
          </w:tcPr>
          <w:p w14:paraId="16D911C2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X²</w:t>
            </w:r>
          </w:p>
        </w:tc>
      </w:tr>
      <w:tr w:rsidR="0031670A" w14:paraId="1D6EE45A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0E2705D9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74" w:type="dxa"/>
            <w:vAlign w:val="center"/>
          </w:tcPr>
          <w:p w14:paraId="0A1820FD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Laudo elétrico conclusivo</w:t>
            </w:r>
          </w:p>
        </w:tc>
        <w:tc>
          <w:tcPr>
            <w:tcW w:w="992" w:type="dxa"/>
            <w:vAlign w:val="center"/>
          </w:tcPr>
          <w:p w14:paraId="5AB64481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31670A" w14:paraId="676451EB" w14:textId="77777777">
        <w:trPr>
          <w:trHeight w:val="283"/>
          <w:jc w:val="center"/>
        </w:trPr>
        <w:tc>
          <w:tcPr>
            <w:tcW w:w="1109" w:type="dxa"/>
            <w:vAlign w:val="center"/>
          </w:tcPr>
          <w:p w14:paraId="423B2238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374" w:type="dxa"/>
            <w:vAlign w:val="center"/>
          </w:tcPr>
          <w:p w14:paraId="719C89CB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Certificados dos brigadistas da edificação ou cópias autenticadas</w:t>
            </w:r>
          </w:p>
        </w:tc>
        <w:tc>
          <w:tcPr>
            <w:tcW w:w="992" w:type="dxa"/>
            <w:vAlign w:val="center"/>
          </w:tcPr>
          <w:p w14:paraId="1D5F2D94" w14:textId="77777777" w:rsidR="0031670A" w:rsidRDefault="00D44F0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</w:p>
        </w:tc>
      </w:tr>
      <w:tr w:rsidR="0031670A" w14:paraId="6249FED6" w14:textId="77777777">
        <w:trPr>
          <w:trHeight w:val="283"/>
          <w:jc w:val="center"/>
        </w:trPr>
        <w:tc>
          <w:tcPr>
            <w:tcW w:w="10475" w:type="dxa"/>
            <w:gridSpan w:val="3"/>
            <w:vAlign w:val="center"/>
          </w:tcPr>
          <w:p w14:paraId="0EA78555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1 - A ART, RRT ou TRT de execução deverá ser apresentada em caso de “habite-se” e a ART, RRT ou TRT de manutenção poderá ser exigida pela equipe de vistoria conforme NTCB 02</w:t>
            </w:r>
          </w:p>
          <w:p w14:paraId="4BB2C301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2 - Somente para edificações que tenham o ASCIP ou APSCIP</w:t>
            </w:r>
          </w:p>
          <w:p w14:paraId="23EFCEE3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3 - Somente para edificações consideradas existentes</w:t>
            </w:r>
          </w:p>
          <w:p w14:paraId="41E0A5EB" w14:textId="77777777" w:rsidR="0031670A" w:rsidRDefault="00D44F0A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4 - Somente para as edificações que possuem brigadistas</w:t>
            </w:r>
          </w:p>
        </w:tc>
      </w:tr>
    </w:tbl>
    <w:p w14:paraId="4BC2491C" w14:textId="77777777" w:rsidR="0031670A" w:rsidRDefault="0031670A">
      <w:pPr>
        <w:pStyle w:val="PargrafodaLista"/>
        <w:widowControl/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777B8A30" w14:textId="77777777" w:rsidR="0031670A" w:rsidRDefault="0031670A">
      <w:pPr>
        <w:widowControl/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14:paraId="59715D87" w14:textId="77777777" w:rsidR="0031670A" w:rsidRDefault="00D44F0A">
      <w:pPr>
        <w:pStyle w:val="PargrafodaLista"/>
        <w:widowControl/>
        <w:numPr>
          <w:ilvl w:val="0"/>
          <w:numId w:val="10"/>
        </w:numPr>
        <w:spacing w:after="0" w:line="240" w:lineRule="auto"/>
        <w:ind w:firstLine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Considerações finais.</w:t>
      </w:r>
    </w:p>
    <w:p w14:paraId="6D1DFB40" w14:textId="77777777" w:rsidR="0031670A" w:rsidRDefault="00D44F0A">
      <w:pPr>
        <w:pStyle w:val="PargrafodaLista"/>
        <w:widowControl/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Todas as normas editadas ou adotadas pelo CBMMT encontram-se disponíveis através do sitio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www.cbm.mt.gov.br</w:t>
        </w:r>
      </w:hyperlink>
      <w:r>
        <w:rPr>
          <w:rFonts w:ascii="Times New Roman" w:hAnsi="Times New Roman" w:cs="Times New Roman"/>
          <w:sz w:val="22"/>
          <w:szCs w:val="22"/>
        </w:rPr>
        <w:t>, no link de serviços técnicos&gt;legislação;</w:t>
      </w:r>
    </w:p>
    <w:p w14:paraId="323CC614" w14:textId="77777777" w:rsidR="0031670A" w:rsidRDefault="00D44F0A">
      <w:pPr>
        <w:pStyle w:val="PargrafodaLista"/>
        <w:widowControl/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isenções de taxa são definidas através da lei 9067/2008;</w:t>
      </w:r>
    </w:p>
    <w:p w14:paraId="6087C29B" w14:textId="77777777" w:rsidR="0031670A" w:rsidRDefault="00D44F0A">
      <w:pPr>
        <w:pStyle w:val="PargrafodaLista"/>
        <w:widowControl/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dimensionamento dos preventivos deve atender às respectivas normas técnicas. Todas são referenciadas na NTCB 06;</w:t>
      </w:r>
    </w:p>
    <w:p w14:paraId="5341B03D" w14:textId="77777777" w:rsidR="0031670A" w:rsidRDefault="00D44F0A">
      <w:pPr>
        <w:pStyle w:val="PargrafodaLista"/>
        <w:widowControl/>
        <w:numPr>
          <w:ilvl w:val="0"/>
          <w:numId w:val="16"/>
        </w:numPr>
        <w:spacing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Especificamente para os eventos temporários, não há necessidade de emissão de “alvará”. Para fins de apresentação em outros órgãos públicos, o Relatório de Vistoria Técnica ou o Termo de Notificação com a inscrição “VISTORIA EM CONFORMIDADE COM O PSCIP APROVADO” tem a mesma validade que o Alvará, conforme previsto no item 8.3.2 c) da NTCB 01.</w:t>
      </w:r>
    </w:p>
    <w:p w14:paraId="1A12FEA3" w14:textId="1A801C66" w:rsidR="0031670A" w:rsidRDefault="0031670A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FCE454E" w14:textId="67E85878" w:rsidR="00596F00" w:rsidRDefault="00596F00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796E4CF" w14:textId="752E3961" w:rsidR="00596F00" w:rsidRDefault="00596F00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95C4749" w14:textId="38AF650B" w:rsidR="00596F00" w:rsidRDefault="00596F00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3BC41D34" w14:textId="77777777" w:rsidR="00596F00" w:rsidRDefault="00596F00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65BF6AF6" w14:textId="68A5D509" w:rsidR="0031670A" w:rsidRDefault="00D44F0A">
      <w:pPr>
        <w:tabs>
          <w:tab w:val="left" w:pos="720"/>
        </w:tabs>
        <w:jc w:val="righ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Cuiabá, </w:t>
      </w:r>
      <w:r w:rsidR="00913F2A">
        <w:rPr>
          <w:rFonts w:ascii="Times New Roman" w:hAnsi="Times New Roman" w:cs="Times New Roman"/>
          <w:b/>
          <w:color w:val="000000"/>
          <w:sz w:val="22"/>
          <w:szCs w:val="22"/>
        </w:rPr>
        <w:t>15 de agosto de 2023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7B773E99" w14:textId="65D931B7" w:rsidR="0031670A" w:rsidRDefault="00D44F0A">
      <w:pPr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RESPONSÁVEIS: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EQUIPES QUE INTEGRAM O PROGRAMA DE FISCALIZAÇÃO PREVENTIVA INTEGRADA-FPI</w:t>
      </w:r>
    </w:p>
    <w:p w14:paraId="5855308A" w14:textId="77777777" w:rsidR="004755F4" w:rsidRDefault="004755F4">
      <w:pPr>
        <w:tabs>
          <w:tab w:val="left" w:pos="720"/>
        </w:tabs>
        <w:ind w:firstLine="0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14:paraId="28A96E9E" w14:textId="77777777" w:rsidR="003167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Assinatura: ____________________________________________________________________________________</w:t>
      </w:r>
    </w:p>
    <w:p w14:paraId="070560C5" w14:textId="77777777" w:rsidR="003167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Recebido por: __________________________________________________________________________________</w:t>
      </w:r>
    </w:p>
    <w:p w14:paraId="745E0FF9" w14:textId="77777777" w:rsidR="003167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CPF: _______. ________. ________-______.</w:t>
      </w:r>
    </w:p>
    <w:p w14:paraId="5797BC51" w14:textId="6906DD3F" w:rsidR="003167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Cargo ou Função: _______________________________________________________________________________</w:t>
      </w:r>
    </w:p>
    <w:p w14:paraId="47629A3F" w14:textId="1E5A73D9" w:rsidR="00D44F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Telefone (_______) ____________-_____________.</w:t>
      </w:r>
    </w:p>
    <w:p w14:paraId="732048D0" w14:textId="5F7CE895" w:rsidR="0031670A" w:rsidRDefault="00D44F0A" w:rsidP="00D44F0A">
      <w:pPr>
        <w:widowControl/>
        <w:tabs>
          <w:tab w:val="left" w:pos="720"/>
        </w:tabs>
        <w:suppressAutoHyphens/>
        <w:spacing w:after="0" w:line="480" w:lineRule="auto"/>
        <w:ind w:firstLine="0"/>
        <w:jc w:val="left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Em: _________/_________/ 202</w:t>
      </w:r>
      <w:r w:rsidR="00867D91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ar-SA"/>
        </w:rPr>
        <w:t>.</w:t>
      </w:r>
    </w:p>
    <w:sectPr w:rsidR="0031670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84" w:right="720" w:bottom="720" w:left="720" w:header="2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E744" w14:textId="77777777" w:rsidR="0031670A" w:rsidRDefault="00D44F0A">
      <w:pPr>
        <w:spacing w:line="240" w:lineRule="auto"/>
      </w:pPr>
      <w:r>
        <w:separator/>
      </w:r>
    </w:p>
  </w:endnote>
  <w:endnote w:type="continuationSeparator" w:id="0">
    <w:p w14:paraId="0C6CBEDB" w14:textId="77777777" w:rsidR="0031670A" w:rsidRDefault="00D4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734689009"/>
      <w:docPartObj>
        <w:docPartGallery w:val="AutoText"/>
      </w:docPartObj>
    </w:sdtPr>
    <w:sdtEndPr/>
    <w:sdtContent>
      <w:sdt>
        <w:sdtPr>
          <w:rPr>
            <w:rFonts w:ascii="Arial" w:hAnsi="Arial" w:cs="Arial"/>
            <w:i/>
            <w:sz w:val="20"/>
            <w:szCs w:val="20"/>
          </w:rPr>
          <w:id w:val="440334917"/>
          <w:docPartObj>
            <w:docPartGallery w:val="AutoText"/>
          </w:docPartObj>
        </w:sdtPr>
        <w:sdtEndPr/>
        <w:sdtContent>
          <w:p w14:paraId="52E447B4" w14:textId="77777777" w:rsidR="0031670A" w:rsidRDefault="0031670A">
            <w:pPr>
              <w:pStyle w:val="Cabealho1"/>
              <w:pBdr>
                <w:bottom w:val="single" w:sz="12" w:space="1" w:color="auto"/>
              </w:pBd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9F9F5B" w14:textId="40432394" w:rsidR="0031670A" w:rsidRDefault="00D44F0A">
            <w:pPr>
              <w:pStyle w:val="Cabealho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Página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 w:val="20"/>
                <w:szCs w:val="20"/>
              </w:rPr>
              <w:instrText>PAGE</w:instrTex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96F00">
              <w:rPr>
                <w:rFonts w:ascii="Arial" w:hAnsi="Arial" w:cs="Arial"/>
                <w:i/>
                <w:noProof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i/>
                <w:sz w:val="20"/>
                <w:szCs w:val="20"/>
              </w:rPr>
              <w:instrText>NUMPAGES</w:instrTex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596F00">
              <w:rPr>
                <w:rFonts w:ascii="Arial" w:hAnsi="Arial" w:cs="Arial"/>
                <w:i/>
                <w:noProof/>
                <w:sz w:val="20"/>
                <w:szCs w:val="20"/>
              </w:rPr>
              <w:t>9</w:t>
            </w:r>
            <w:r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1591" w14:textId="77777777" w:rsidR="0031670A" w:rsidRDefault="0031670A">
    <w:pPr>
      <w:pStyle w:val="Standard"/>
      <w:pBdr>
        <w:bottom w:val="single" w:sz="12" w:space="1" w:color="auto"/>
      </w:pBdr>
      <w:autoSpaceDE w:val="0"/>
      <w:jc w:val="center"/>
      <w:rPr>
        <w:rFonts w:ascii="Arial" w:eastAsia="Times New Roman" w:hAnsi="Arial" w:cs="Times New Roman"/>
        <w:b/>
        <w:bCs/>
        <w:color w:val="000000"/>
        <w:sz w:val="20"/>
        <w:szCs w:val="20"/>
      </w:rPr>
    </w:pPr>
  </w:p>
  <w:p w14:paraId="30393837" w14:textId="77777777" w:rsidR="0031670A" w:rsidRDefault="0031670A">
    <w:pPr>
      <w:pStyle w:val="Standard"/>
      <w:autoSpaceDE w:val="0"/>
      <w:jc w:val="center"/>
      <w:rPr>
        <w:rFonts w:ascii="Arial" w:eastAsia="Times New Roman" w:hAnsi="Arial" w:cs="Times New Roman"/>
        <w:b/>
        <w:bCs/>
        <w:color w:val="000000"/>
        <w:sz w:val="10"/>
        <w:szCs w:val="10"/>
      </w:rPr>
    </w:pPr>
  </w:p>
  <w:p w14:paraId="1E2E55F9" w14:textId="77777777" w:rsidR="0031670A" w:rsidRDefault="00D44F0A">
    <w:pPr>
      <w:pStyle w:val="Standard"/>
      <w:autoSpaceDE w:val="0"/>
      <w:jc w:val="center"/>
      <w:rPr>
        <w:rFonts w:ascii="Arial" w:eastAsia="Times New Roman" w:hAnsi="Arial" w:cs="Times New Roman"/>
        <w:color w:val="000000"/>
        <w:sz w:val="20"/>
        <w:szCs w:val="20"/>
      </w:rPr>
    </w:pPr>
    <w:r>
      <w:rPr>
        <w:rFonts w:ascii="Arial" w:eastAsia="Times New Roman" w:hAnsi="Arial" w:cs="Times New Roman"/>
        <w:color w:val="000000"/>
        <w:sz w:val="20"/>
        <w:szCs w:val="20"/>
      </w:rPr>
      <w:t>Avenida Historiador Rubens de Mendonça, 491- Bairro Araes</w:t>
    </w:r>
  </w:p>
  <w:p w14:paraId="72A4E993" w14:textId="77777777" w:rsidR="0031670A" w:rsidRDefault="00D44F0A">
    <w:pPr>
      <w:pStyle w:val="Standard"/>
      <w:autoSpaceDE w:val="0"/>
      <w:jc w:val="center"/>
      <w:rPr>
        <w:rFonts w:ascii="Arial" w:hAnsi="Arial"/>
        <w:sz w:val="20"/>
        <w:szCs w:val="20"/>
      </w:rPr>
    </w:pPr>
    <w:r>
      <w:rPr>
        <w:rFonts w:ascii="Arial" w:eastAsia="Times New Roman" w:hAnsi="Arial" w:cs="Times New Roman"/>
        <w:b/>
        <w:bCs/>
        <w:color w:val="000000"/>
        <w:sz w:val="20"/>
        <w:szCs w:val="20"/>
      </w:rPr>
      <w:t xml:space="preserve">CEP 78.005-725 Cuiabá-MT - </w:t>
    </w:r>
    <w:r>
      <w:rPr>
        <w:rFonts w:ascii="Arial" w:eastAsia="Arial" w:hAnsi="Arial" w:cs="Arial"/>
        <w:b/>
        <w:bCs/>
        <w:color w:val="000000"/>
        <w:sz w:val="20"/>
        <w:szCs w:val="20"/>
      </w:rPr>
      <w:t>Fone: (</w:t>
    </w:r>
    <w:r>
      <w:rPr>
        <w:rFonts w:ascii="Arial" w:eastAsia="Times New Roman" w:hAnsi="Arial" w:cs="Times New Roman"/>
        <w:b/>
        <w:bCs/>
        <w:color w:val="000000"/>
        <w:sz w:val="20"/>
        <w:szCs w:val="20"/>
      </w:rPr>
      <w:t xml:space="preserve">65) 3315-3028 / Fax: (65) 3315-3016 - </w:t>
    </w:r>
    <w:r>
      <w:rPr>
        <w:rFonts w:ascii="Arial" w:eastAsia="Times New Roman" w:hAnsi="Arial" w:cs="Times New Roman"/>
        <w:b/>
        <w:bCs/>
        <w:color w:val="0000FF"/>
        <w:sz w:val="20"/>
        <w:szCs w:val="20"/>
      </w:rPr>
      <w:t>fpi@crea-mt.org.br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64827" w14:textId="77777777" w:rsidR="0031670A" w:rsidRDefault="00D44F0A">
      <w:pPr>
        <w:spacing w:after="0"/>
      </w:pPr>
      <w:r>
        <w:separator/>
      </w:r>
    </w:p>
  </w:footnote>
  <w:footnote w:type="continuationSeparator" w:id="0">
    <w:p w14:paraId="4E4DE8B6" w14:textId="77777777" w:rsidR="0031670A" w:rsidRDefault="00D44F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35D8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firstLine="0"/>
      <w:jc w:val="center"/>
      <w:rPr>
        <w:rFonts w:ascii="Arial Black" w:eastAsia="Times New Roman" w:hAnsi="Arial Black" w:cs="Times New Roman"/>
        <w:b/>
        <w:color w:val="000000"/>
        <w:sz w:val="21"/>
        <w:szCs w:val="21"/>
        <w:lang w:eastAsia="ar-SA"/>
      </w:rPr>
    </w:pPr>
    <w:r>
      <w:rPr>
        <w:noProof/>
        <w:lang w:eastAsia="pt-BR"/>
      </w:rPr>
      <w:drawing>
        <wp:inline distT="0" distB="0" distL="0" distR="0" wp14:anchorId="17B8D8D8" wp14:editId="296387B3">
          <wp:extent cx="707390" cy="643890"/>
          <wp:effectExtent l="0" t="0" r="0" b="381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43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C24DFF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firstLine="0"/>
      <w:jc w:val="center"/>
      <w:rPr>
        <w:rFonts w:eastAsia="Times New Roman"/>
        <w:b/>
        <w:color w:val="000000"/>
        <w:sz w:val="21"/>
        <w:szCs w:val="21"/>
        <w:lang w:eastAsia="ar-SA"/>
      </w:rPr>
    </w:pPr>
    <w:r>
      <w:rPr>
        <w:rFonts w:eastAsia="Times New Roman"/>
        <w:b/>
        <w:color w:val="000000"/>
        <w:sz w:val="21"/>
        <w:szCs w:val="21"/>
        <w:lang w:eastAsia="ar-SA"/>
      </w:rPr>
      <w:t>SERVIÇO PÚBLICO FEDERAL</w:t>
    </w:r>
  </w:p>
  <w:p w14:paraId="7637281E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left="-284" w:firstLine="0"/>
      <w:jc w:val="center"/>
      <w:rPr>
        <w:rFonts w:eastAsia="Times New Roman"/>
        <w:b/>
        <w:bCs/>
        <w:smallCaps/>
        <w:color w:val="000000"/>
        <w:sz w:val="22"/>
        <w:szCs w:val="22"/>
        <w:lang w:eastAsia="ar-SA"/>
      </w:rPr>
    </w:pPr>
    <w:r>
      <w:rPr>
        <w:rFonts w:eastAsia="Times New Roman"/>
        <w:b/>
        <w:bCs/>
        <w:smallCaps/>
        <w:color w:val="000000"/>
        <w:sz w:val="22"/>
        <w:szCs w:val="22"/>
        <w:lang w:eastAsia="ar-SA"/>
      </w:rPr>
      <w:t>Conselho Regional de Engenharia e Agronomia do Estado de Mato Grosso</w:t>
    </w:r>
  </w:p>
  <w:p w14:paraId="3D0B0A19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left="-284" w:firstLine="0"/>
      <w:jc w:val="center"/>
      <w:rPr>
        <w:rFonts w:eastAsia="Times New Roman"/>
        <w:b/>
        <w:bCs/>
        <w:smallCaps/>
        <w:color w:val="000000"/>
        <w:sz w:val="21"/>
        <w:szCs w:val="21"/>
        <w:lang w:eastAsia="ar-SA"/>
      </w:rPr>
    </w:pPr>
    <w:r>
      <w:rPr>
        <w:rFonts w:eastAsia="Times New Roman"/>
        <w:b/>
        <w:bCs/>
        <w:smallCaps/>
        <w:color w:val="000000"/>
        <w:sz w:val="21"/>
        <w:szCs w:val="21"/>
        <w:lang w:eastAsia="ar-SA"/>
      </w:rPr>
      <w:t>CREA-MT</w:t>
    </w:r>
  </w:p>
  <w:p w14:paraId="6B8F3D04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left="-284" w:firstLine="0"/>
      <w:jc w:val="center"/>
      <w:rPr>
        <w:rFonts w:eastAsia="Times New Roman"/>
        <w:b/>
        <w:bCs/>
        <w:smallCaps/>
        <w:color w:val="000000"/>
        <w:sz w:val="21"/>
        <w:szCs w:val="21"/>
        <w:lang w:eastAsia="ar-SA"/>
      </w:rPr>
    </w:pPr>
    <w:r>
      <w:rPr>
        <w:rFonts w:eastAsia="Times New Roman"/>
        <w:b/>
        <w:sz w:val="22"/>
        <w:szCs w:val="22"/>
        <w:lang w:eastAsia="ar-SA"/>
      </w:rPr>
      <w:t>COORDENADORIA DE FISCALIZAÇÃO PREVENTIVA INTEGRADA – CFPI</w:t>
    </w:r>
  </w:p>
  <w:p w14:paraId="7124BDC8" w14:textId="77777777" w:rsidR="0031670A" w:rsidRDefault="003167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8C8F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firstLine="0"/>
      <w:jc w:val="center"/>
      <w:rPr>
        <w:rFonts w:ascii="Arial Black" w:eastAsia="Times New Roman" w:hAnsi="Arial Black" w:cs="Times New Roman"/>
        <w:b/>
        <w:color w:val="000000"/>
        <w:sz w:val="21"/>
        <w:szCs w:val="21"/>
        <w:lang w:eastAsia="ar-SA"/>
      </w:rPr>
    </w:pPr>
    <w:r>
      <w:rPr>
        <w:noProof/>
        <w:lang w:eastAsia="pt-BR"/>
      </w:rPr>
      <w:drawing>
        <wp:inline distT="0" distB="0" distL="0" distR="0" wp14:anchorId="6A599E77" wp14:editId="0B211D2A">
          <wp:extent cx="707390" cy="643890"/>
          <wp:effectExtent l="0" t="0" r="0" b="381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43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F031DCB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firstLine="0"/>
      <w:jc w:val="center"/>
      <w:rPr>
        <w:rFonts w:eastAsia="Times New Roman"/>
        <w:b/>
        <w:color w:val="000000"/>
        <w:sz w:val="21"/>
        <w:szCs w:val="21"/>
        <w:lang w:eastAsia="ar-SA"/>
      </w:rPr>
    </w:pPr>
    <w:r>
      <w:rPr>
        <w:rFonts w:eastAsia="Times New Roman"/>
        <w:b/>
        <w:color w:val="000000"/>
        <w:sz w:val="21"/>
        <w:szCs w:val="21"/>
        <w:lang w:eastAsia="ar-SA"/>
      </w:rPr>
      <w:t>SERVIÇO PÚBLICO FEDERAL</w:t>
    </w:r>
  </w:p>
  <w:p w14:paraId="659AD866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left="-284" w:firstLine="0"/>
      <w:jc w:val="center"/>
      <w:rPr>
        <w:rFonts w:eastAsia="Times New Roman"/>
        <w:b/>
        <w:bCs/>
        <w:smallCaps/>
        <w:color w:val="000000"/>
        <w:sz w:val="22"/>
        <w:szCs w:val="22"/>
        <w:lang w:eastAsia="ar-SA"/>
      </w:rPr>
    </w:pPr>
    <w:r>
      <w:rPr>
        <w:rFonts w:eastAsia="Times New Roman"/>
        <w:b/>
        <w:bCs/>
        <w:smallCaps/>
        <w:color w:val="000000"/>
        <w:sz w:val="18"/>
        <w:szCs w:val="18"/>
        <w:lang w:eastAsia="ar-SA"/>
      </w:rPr>
      <w:t xml:space="preserve">     </w:t>
    </w:r>
    <w:r>
      <w:rPr>
        <w:rFonts w:eastAsia="Times New Roman"/>
        <w:b/>
        <w:bCs/>
        <w:smallCaps/>
        <w:color w:val="000000"/>
        <w:sz w:val="22"/>
        <w:szCs w:val="22"/>
        <w:lang w:eastAsia="ar-SA"/>
      </w:rPr>
      <w:t>Conselho Regional de Engenharia e Agronomia do Estado de Mato Grosso</w:t>
    </w:r>
  </w:p>
  <w:p w14:paraId="006CB160" w14:textId="77777777" w:rsidR="0031670A" w:rsidRDefault="00D44F0A">
    <w:pPr>
      <w:widowControl/>
      <w:tabs>
        <w:tab w:val="center" w:pos="4419"/>
        <w:tab w:val="right" w:pos="8838"/>
      </w:tabs>
      <w:suppressAutoHyphens/>
      <w:spacing w:after="0" w:line="240" w:lineRule="auto"/>
      <w:ind w:left="-284" w:firstLine="0"/>
      <w:jc w:val="center"/>
      <w:rPr>
        <w:rFonts w:eastAsia="Times New Roman"/>
        <w:b/>
        <w:bCs/>
        <w:smallCaps/>
        <w:color w:val="000000"/>
        <w:sz w:val="21"/>
        <w:szCs w:val="21"/>
        <w:lang w:eastAsia="ar-SA"/>
      </w:rPr>
    </w:pPr>
    <w:r>
      <w:rPr>
        <w:rFonts w:eastAsia="Times New Roman"/>
        <w:b/>
        <w:bCs/>
        <w:smallCaps/>
        <w:color w:val="000000"/>
        <w:sz w:val="21"/>
        <w:szCs w:val="21"/>
        <w:lang w:eastAsia="ar-SA"/>
      </w:rPr>
      <w:t>CREA-MT</w:t>
    </w:r>
  </w:p>
  <w:p w14:paraId="64DD6E10" w14:textId="77777777" w:rsidR="0031670A" w:rsidRDefault="00D44F0A">
    <w:pPr>
      <w:pStyle w:val="Cabealho"/>
      <w:rPr>
        <w:rFonts w:eastAsia="Times New Roman"/>
        <w:b/>
        <w:sz w:val="22"/>
        <w:szCs w:val="22"/>
        <w:lang w:eastAsia="ar-SA"/>
      </w:rPr>
    </w:pPr>
    <w:r>
      <w:rPr>
        <w:rFonts w:eastAsia="Times New Roman"/>
        <w:b/>
        <w:sz w:val="22"/>
        <w:szCs w:val="22"/>
        <w:lang w:eastAsia="ar-SA"/>
      </w:rPr>
      <w:t>COORDENADORIA DE FISCALIZAÇÃO PREVENTIVA INTEGRADA – CFPI</w:t>
    </w:r>
  </w:p>
  <w:p w14:paraId="1DD452E1" w14:textId="77777777" w:rsidR="0031670A" w:rsidRDefault="0031670A">
    <w:pPr>
      <w:pStyle w:val="Cabealho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i w:val="0"/>
        <w:sz w:val="24"/>
        <w:szCs w:val="22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i w:val="0"/>
        <w:sz w:val="24"/>
        <w:szCs w:val="22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i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00000008"/>
    <w:lvl w:ilvl="0">
      <w:start w:val="1"/>
      <w:numFmt w:val="upperLetter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i w:val="0"/>
        <w:sz w:val="24"/>
      </w:rPr>
    </w:lvl>
  </w:abstractNum>
  <w:abstractNum w:abstractNumId="6" w15:restartNumberingAfterBreak="0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/>
        <w:i w:val="0"/>
        <w:sz w:val="24"/>
        <w:szCs w:val="22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073C26AE"/>
    <w:multiLevelType w:val="multilevel"/>
    <w:tmpl w:val="073C26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8596D96"/>
    <w:multiLevelType w:val="hybridMultilevel"/>
    <w:tmpl w:val="1BC84526"/>
    <w:lvl w:ilvl="0" w:tplc="7F2AE962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50E6"/>
    <w:multiLevelType w:val="multilevel"/>
    <w:tmpl w:val="233B5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42123"/>
    <w:multiLevelType w:val="multilevel"/>
    <w:tmpl w:val="4134212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B38B5"/>
    <w:multiLevelType w:val="multilevel"/>
    <w:tmpl w:val="4D2B38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94957"/>
    <w:multiLevelType w:val="multilevel"/>
    <w:tmpl w:val="50494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C470C"/>
    <w:multiLevelType w:val="hybridMultilevel"/>
    <w:tmpl w:val="5BFE8808"/>
    <w:lvl w:ilvl="0" w:tplc="686A1B7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90C64"/>
    <w:multiLevelType w:val="hybridMultilevel"/>
    <w:tmpl w:val="C0B0ABE0"/>
    <w:lvl w:ilvl="0" w:tplc="2584A5D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12364"/>
    <w:multiLevelType w:val="multilevel"/>
    <w:tmpl w:val="73B123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52DA3"/>
    <w:multiLevelType w:val="multilevel"/>
    <w:tmpl w:val="7A752D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E4CC8"/>
    <w:multiLevelType w:val="multilevel"/>
    <w:tmpl w:val="7DAE4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2153">
    <w:abstractNumId w:val="2"/>
  </w:num>
  <w:num w:numId="2" w16cid:durableId="1163545699">
    <w:abstractNumId w:val="6"/>
  </w:num>
  <w:num w:numId="3" w16cid:durableId="34694167">
    <w:abstractNumId w:val="4"/>
  </w:num>
  <w:num w:numId="4" w16cid:durableId="683870099">
    <w:abstractNumId w:val="1"/>
  </w:num>
  <w:num w:numId="5" w16cid:durableId="502284268">
    <w:abstractNumId w:val="5"/>
  </w:num>
  <w:num w:numId="6" w16cid:durableId="1392079771">
    <w:abstractNumId w:val="3"/>
  </w:num>
  <w:num w:numId="7" w16cid:durableId="202642519">
    <w:abstractNumId w:val="16"/>
  </w:num>
  <w:num w:numId="8" w16cid:durableId="1493259879">
    <w:abstractNumId w:val="7"/>
  </w:num>
  <w:num w:numId="9" w16cid:durableId="8874389">
    <w:abstractNumId w:val="0"/>
  </w:num>
  <w:num w:numId="10" w16cid:durableId="779376188">
    <w:abstractNumId w:val="10"/>
  </w:num>
  <w:num w:numId="11" w16cid:durableId="385884099">
    <w:abstractNumId w:val="11"/>
  </w:num>
  <w:num w:numId="12" w16cid:durableId="225143952">
    <w:abstractNumId w:val="18"/>
  </w:num>
  <w:num w:numId="13" w16cid:durableId="17900751">
    <w:abstractNumId w:val="17"/>
  </w:num>
  <w:num w:numId="14" w16cid:durableId="334889574">
    <w:abstractNumId w:val="12"/>
  </w:num>
  <w:num w:numId="15" w16cid:durableId="1070731462">
    <w:abstractNumId w:val="13"/>
  </w:num>
  <w:num w:numId="16" w16cid:durableId="338195701">
    <w:abstractNumId w:val="8"/>
  </w:num>
  <w:num w:numId="17" w16cid:durableId="1545562917">
    <w:abstractNumId w:val="9"/>
  </w:num>
  <w:num w:numId="18" w16cid:durableId="727655394">
    <w:abstractNumId w:val="15"/>
  </w:num>
  <w:num w:numId="19" w16cid:durableId="446966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18A"/>
    <w:rsid w:val="0001526D"/>
    <w:rsid w:val="00063CD7"/>
    <w:rsid w:val="000B489D"/>
    <w:rsid w:val="000C1DEF"/>
    <w:rsid w:val="00140CD7"/>
    <w:rsid w:val="00153EDA"/>
    <w:rsid w:val="002015E9"/>
    <w:rsid w:val="00203E97"/>
    <w:rsid w:val="0020764C"/>
    <w:rsid w:val="00217BFD"/>
    <w:rsid w:val="002662A8"/>
    <w:rsid w:val="002B1C7F"/>
    <w:rsid w:val="0030326D"/>
    <w:rsid w:val="0031670A"/>
    <w:rsid w:val="00343BF5"/>
    <w:rsid w:val="003526C8"/>
    <w:rsid w:val="00357710"/>
    <w:rsid w:val="00373B23"/>
    <w:rsid w:val="0038132F"/>
    <w:rsid w:val="003E3160"/>
    <w:rsid w:val="00437EB6"/>
    <w:rsid w:val="004469BE"/>
    <w:rsid w:val="00454575"/>
    <w:rsid w:val="004755F4"/>
    <w:rsid w:val="00496D84"/>
    <w:rsid w:val="004B1F9F"/>
    <w:rsid w:val="00514FD8"/>
    <w:rsid w:val="00516BBD"/>
    <w:rsid w:val="005312BB"/>
    <w:rsid w:val="00537B50"/>
    <w:rsid w:val="005414FA"/>
    <w:rsid w:val="00576B2F"/>
    <w:rsid w:val="00596F00"/>
    <w:rsid w:val="005B11DD"/>
    <w:rsid w:val="005B4515"/>
    <w:rsid w:val="005D0183"/>
    <w:rsid w:val="0061518A"/>
    <w:rsid w:val="00671B30"/>
    <w:rsid w:val="00673F1A"/>
    <w:rsid w:val="00680470"/>
    <w:rsid w:val="00702F1F"/>
    <w:rsid w:val="00714A34"/>
    <w:rsid w:val="00771589"/>
    <w:rsid w:val="00792CCA"/>
    <w:rsid w:val="007B3961"/>
    <w:rsid w:val="007D2E18"/>
    <w:rsid w:val="007E1A2B"/>
    <w:rsid w:val="007E4373"/>
    <w:rsid w:val="00811247"/>
    <w:rsid w:val="008143D5"/>
    <w:rsid w:val="00814C9B"/>
    <w:rsid w:val="00826A81"/>
    <w:rsid w:val="008508C8"/>
    <w:rsid w:val="00851825"/>
    <w:rsid w:val="00867D91"/>
    <w:rsid w:val="008A25C1"/>
    <w:rsid w:val="008C4826"/>
    <w:rsid w:val="00903090"/>
    <w:rsid w:val="00911B0F"/>
    <w:rsid w:val="00913F2A"/>
    <w:rsid w:val="0093513A"/>
    <w:rsid w:val="00987E32"/>
    <w:rsid w:val="009D4888"/>
    <w:rsid w:val="00A22541"/>
    <w:rsid w:val="00A45C9A"/>
    <w:rsid w:val="00AA0992"/>
    <w:rsid w:val="00AC66EB"/>
    <w:rsid w:val="00AD019A"/>
    <w:rsid w:val="00AE153C"/>
    <w:rsid w:val="00AE5C1D"/>
    <w:rsid w:val="00B278D6"/>
    <w:rsid w:val="00B400A4"/>
    <w:rsid w:val="00B527A1"/>
    <w:rsid w:val="00B81C61"/>
    <w:rsid w:val="00B93CBF"/>
    <w:rsid w:val="00BA4DE4"/>
    <w:rsid w:val="00BC3006"/>
    <w:rsid w:val="00BC7DFF"/>
    <w:rsid w:val="00C01F7C"/>
    <w:rsid w:val="00C06A2A"/>
    <w:rsid w:val="00C350EC"/>
    <w:rsid w:val="00C42573"/>
    <w:rsid w:val="00C471F2"/>
    <w:rsid w:val="00C56487"/>
    <w:rsid w:val="00C634B0"/>
    <w:rsid w:val="00CD01F1"/>
    <w:rsid w:val="00CD72F0"/>
    <w:rsid w:val="00D10D7F"/>
    <w:rsid w:val="00D14B4E"/>
    <w:rsid w:val="00D40D0D"/>
    <w:rsid w:val="00D44F0A"/>
    <w:rsid w:val="00D6230D"/>
    <w:rsid w:val="00D96163"/>
    <w:rsid w:val="00DB7944"/>
    <w:rsid w:val="00DC5E08"/>
    <w:rsid w:val="00E50921"/>
    <w:rsid w:val="00E65E61"/>
    <w:rsid w:val="00EF5B54"/>
    <w:rsid w:val="00F026A8"/>
    <w:rsid w:val="00F154BA"/>
    <w:rsid w:val="00F90C65"/>
    <w:rsid w:val="00FA00FB"/>
    <w:rsid w:val="00FE5E47"/>
    <w:rsid w:val="1CD2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0E33"/>
  <w15:docId w15:val="{6F6F5859-3046-4356-9966-6E595AB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20" w:line="360" w:lineRule="auto"/>
      <w:ind w:firstLine="851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rPr>
      <w:rFonts w:ascii="Arial" w:hAnsi="Arial" w:cs="Arial"/>
      <w:sz w:val="24"/>
      <w:szCs w:val="24"/>
    </w:rPr>
  </w:style>
  <w:style w:type="paragraph" w:customStyle="1" w:styleId="Cabealho1">
    <w:name w:val="Cabeçalho1"/>
    <w:basedOn w:val="Normal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ind w:firstLine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rpodetexto21">
    <w:name w:val="Corpo de texto 21"/>
    <w:basedOn w:val="Normal"/>
    <w:pPr>
      <w:widowControl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 w:cs="Arial"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-mt.org.br/portal/art/manuai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m.mt.gov.b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en-mt.gob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pfi@crea-mt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fi@crea-mt.org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BDF2E-AF90-4DF8-8E2F-458B5D6E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3656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THAINA RENATA RIBEIRO LOPES</dc:creator>
  <cp:keywords/>
  <dc:description/>
  <cp:lastModifiedBy>REYNALDO DE MAGALHÃES PASSOS</cp:lastModifiedBy>
  <cp:revision>2</cp:revision>
  <cp:lastPrinted>2020-01-20T14:03:00Z</cp:lastPrinted>
  <dcterms:created xsi:type="dcterms:W3CDTF">2023-08-29T21:41:00Z</dcterms:created>
  <dcterms:modified xsi:type="dcterms:W3CDTF">2023-08-29T21:41:00Z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1046-11.2.0.11388</vt:lpwstr>
  </property>
  <property fmtid="{D5CDD505-2E9C-101B-9397-08002B2CF9AE}" pid="3" name="ICV">
    <vt:lpwstr>1F74707F0380498585DE84E935B7BC1A</vt:lpwstr>
  </property>
</Properties>
</file>